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40" w:line="240" w:lineRule="auto"/>
        <w:ind w:firstLine="720"/>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Оперативна ціль 2.4. Формування сучасного культурного середовища та творчих галузей як засад розвитку креативної економіки.</w:t>
      </w:r>
      <w:r w:rsidDel="00000000" w:rsidR="00000000" w:rsidRPr="00000000">
        <w:rPr>
          <w:rtl w:val="0"/>
        </w:rPr>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Актуальність визначення пріоритетів культурної політики в стратегії розвитку регіону полягає у необхідності забезпечити розвиток креативного потенціалу громад, створити умови для формування творчого середовища та нових форм суспільної організації. Динамічний розвиток культури має ключове значення для успішної модернізації регіону, без чого неможливі якісні трансформації в суспільстві, імплементація новітніх практик розбудови культурного середовища, створення креативної економіки (реклама, дизайн, виконавче мистецтво, кінематографія, радіо, телебачення та інші види діяльності, згідно визначення ЮНЕСКО). В рамках цих галузей формуються нові економічні моделі, нові соціальні та культурні стосунки – як підґрунтя інтеграції індивідуальної творчої ініціативи, навичок і талантів у виробництво матеріальних та нематеріальних цінностей.</w:t>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Важливою складовою стратегії регіонального розвитку має бути розвиток інноваційної культури, яка визнає базовими цінностями процес оновлення суспільства і творчу самореалізацію особистості. Інноваційний прорив можливий за рахунок удосконалення культурної політики, коли новітні виробничі технології та управлінські рішення будуть підкріплені цінностями, спрямованими на розвиток і модернізацію. Необхідні зміни в управлінні закладами культури, зокрема, опанування сучасними менеджерськими технологіями, підвищення кваліфікації керівників і співробітників закладів культури щодо управління інноваційною діяльністю.</w:t>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Станом на кінець 2015 року у Запорізькій області налічується 1070 закладів культури: 3 заповідника, 23 музеї, 114 музеїв на громадських засадах, 3 обласних театри, філармонія, 2 вищих навчальних заклади І-ІІ рівнів акредитації, 65 шкіл естетичного виховання, 11 кінотеатрів, 500 бібліотек, 413 установ культури клубного типу, з них 75% - у сільській місцевості.</w:t>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Мистецькою освітою в області охоплено 12549 осіб. При клубних закладах діють 3108 клубних формувань, що об’єднують 45130 учасників, з них 22927 - дітей. У тому числі 2181 аматорський колектив, 635 гуртків образотворчого та декоративно-прикладного мистецтва.</w:t>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Бібліотечним обслуговуванням охоплено 504,3 тис. чоловік, у тому числі 168 тисяч – у сільській місцевості. Бібліотечний фонд складає 8,3 млн. примирників.</w:t>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Позитивний вплив на культурне життя області справляє фестивальний рух. Лише за підтримки облдержадміністрації проведено понад 20 міжнародних, всеукраїнських та регіональних фестивалів.</w:t>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Таким чином, Запорізька область має певний потенціал для подальшого розвитку культурної сфери. Проте такий розвиток має відбуватись на принципово нових засадах, які дозволяють створювати і поширювати сучасні культурні та мистецькі продукти, запроваджувати на місцевому та регіональному рівнях нові форми і методи управління закладами культури, які відповідають світовим стандартам, перетворюючи культурну сферу на окрему галузь в системі креативної економіки.</w:t>
      </w:r>
    </w:p>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Розвиток культурних галузей, у свою чергу, призведе до розвитку туризму та збільшення зайнятості у невиробничій сфері. Сучасна людина, яка цікавиться туристичним продуктом, потребує нової культурної інфраструктури – галерей, музеїв, відкритих спільних просторів для спілкування та налагодження зв’язків, творчих резиденцій та інших локацій. Розвинена креативна інфраструктура, фахівці, налагоджений сервіс дозволять  приваблювати як організованих, так і не організованих туристів, проводити міжнародні заходи широкого спектру.</w:t>
      </w:r>
    </w:p>
    <w:p w:rsidR="00000000" w:rsidDel="00000000" w:rsidP="00000000" w:rsidRDefault="00000000" w:rsidRPr="00000000">
      <w:pPr>
        <w:spacing w:after="0" w:before="40" w:line="240" w:lineRule="auto"/>
        <w:ind w:firstLine="709"/>
        <w:contextualSpacing w:val="0"/>
        <w:jc w:val="both"/>
      </w:pPr>
      <w:r w:rsidDel="00000000" w:rsidR="00000000" w:rsidRPr="00000000">
        <w:rPr>
          <w:rtl w:val="0"/>
        </w:rPr>
      </w:r>
    </w:p>
    <w:p w:rsidR="00000000" w:rsidDel="00000000" w:rsidP="00000000" w:rsidRDefault="00000000" w:rsidRPr="00000000">
      <w:pPr>
        <w:spacing w:after="0" w:before="40" w:line="240" w:lineRule="auto"/>
        <w:ind w:firstLine="709"/>
        <w:contextualSpacing w:val="0"/>
        <w:jc w:val="both"/>
      </w:pPr>
      <w:r w:rsidDel="00000000" w:rsidR="00000000" w:rsidRPr="00000000">
        <w:rPr>
          <w:rtl w:val="0"/>
        </w:rPr>
      </w:r>
    </w:p>
    <w:p w:rsidR="00000000" w:rsidDel="00000000" w:rsidP="00000000" w:rsidRDefault="00000000" w:rsidRPr="00000000">
      <w:pPr>
        <w:spacing w:after="0" w:before="40" w:line="240" w:lineRule="auto"/>
        <w:ind w:firstLine="709"/>
        <w:contextualSpacing w:val="0"/>
        <w:jc w:val="both"/>
      </w:pPr>
      <w:r w:rsidDel="00000000" w:rsidR="00000000" w:rsidRPr="00000000">
        <w:rPr>
          <w:rFonts w:ascii="Times New Roman" w:cs="Times New Roman" w:eastAsia="Times New Roman" w:hAnsi="Times New Roman"/>
          <w:b w:val="1"/>
          <w:vertAlign w:val="baseline"/>
          <w:rtl w:val="0"/>
        </w:rPr>
        <w:t xml:space="preserve">Очікувані результати:</w:t>
      </w:r>
      <w:r w:rsidDel="00000000" w:rsidR="00000000" w:rsidRPr="00000000">
        <w:rPr>
          <w:rtl w:val="0"/>
        </w:rPr>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становлення цілісного толерантного культурного простору, наповненого конкурентоспроможним культурним продуктом;</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збереження культурних осередків в територіальних громадах області та культурної спадщини – як ресурсу консолідації та культурно-естетичного виховання нових поколінь;</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обладнання матеріальної бази закладів культури сучасними технологічними та інформаційними засобами;</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впровадження у роботу закладів культури нових організаційних, технологічних ресурсів та маркетингових технологій;</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підвищення економічної самодостатності закладів культури;</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спрощення доступу до культурних благ для різних верств населення, особливо у сільській місцевості;</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збільшення кадрового культурного потенціалу області, у т.ч. за рахунок інтеграції внутрішньо переміщених осіб;</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посилення інвестиційної діяльності у сфері культури, у т.ч. на основі державно-приватного партнерства;</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активізація діяльності професійних і аматорських творчих колективів, інтеграція до загальноукраїнського та міжнародного культурно-мистецького простору;</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економічного, соціального та гуманітарного розвитку за рахунок створення креативного середовища і розкриття потенціалу творчих особистостей;</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зростання конкурентоспроможності регіонального культурного продукту та закладів культури;</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збільшення кількості та підвищення якості проведення культурних заходів;</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розвиток у Запорізькій області креативної економіки – як наслідок інтеграції сучасного культурного середовища до соціально-економічної сфери;</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збільшення можливостей для культурного та естетичного виховання дітей і підлітків на кращих прикладах традиційної та сучасної культури;</w:t>
      </w:r>
    </w:p>
    <w:p w:rsidR="00000000" w:rsidDel="00000000" w:rsidP="00000000" w:rsidRDefault="00000000" w:rsidRPr="00000000">
      <w:pPr>
        <w:numPr>
          <w:ilvl w:val="0"/>
          <w:numId w:val="1"/>
        </w:numPr>
        <w:spacing w:before="40" w:line="240" w:lineRule="auto"/>
        <w:ind w:left="108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подальший розвиток подієвого та інших напрямів туризму, популяризація Запорізького краю у світі. </w:t>
      </w:r>
      <w:r w:rsidDel="00000000" w:rsidR="00000000" w:rsidRPr="00000000">
        <w:rPr>
          <w:rtl w:val="0"/>
        </w:rPr>
      </w:r>
    </w:p>
    <w:p w:rsidR="00000000" w:rsidDel="00000000" w:rsidP="00000000" w:rsidRDefault="00000000" w:rsidRPr="00000000">
      <w:pPr>
        <w:spacing w:after="0" w:before="4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40" w:line="240" w:lineRule="auto"/>
        <w:ind w:firstLine="709"/>
        <w:contextualSpacing w:val="0"/>
        <w:jc w:val="both"/>
      </w:pPr>
      <w:r w:rsidDel="00000000" w:rsidR="00000000" w:rsidRPr="00000000">
        <w:rPr>
          <w:rFonts w:ascii="Times New Roman" w:cs="Times New Roman" w:eastAsia="Times New Roman" w:hAnsi="Times New Roman"/>
          <w:b w:val="1"/>
          <w:vertAlign w:val="baseline"/>
          <w:rtl w:val="0"/>
        </w:rPr>
        <w:t xml:space="preserve">Індикатори:</w:t>
      </w:r>
      <w:r w:rsidDel="00000000" w:rsidR="00000000" w:rsidRPr="00000000">
        <w:rPr>
          <w:rtl w:val="0"/>
        </w:rPr>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інфраструктурних об’єктів культури, у тому числі нових та модернізованих, одиниць;</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обсяг інвестицій у будівництво та модернізацію об’єктів культури, тис.грн.;</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реалізованих інноваційних проектів, одиниць;</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культурно-мистецьких заходів, у т.ч. міжнародних, одиниць;</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учасників просвітницьких та культурно-мистецьких заходів, тис.осіб;</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туристів, які відвідали регіон в рамках культурно-мистецьких подій чи бізнес-подій культурного спрямування, тис. осіб.;</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громадських об’єднань культурно-просвітницького спрямування, одиниць;</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суб’єктів підприємницької діяльності у сфері креативної економіки, одиниць;</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кількість створених робочих місць у галузі культури, одиниць;</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середній розмір заробітної плати по галузі у Запорізькій області, грн.;</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частка галузей креативної економіки у валовому регіональному продукті, відсотки;</w:t>
      </w:r>
    </w:p>
    <w:p w:rsidR="00000000" w:rsidDel="00000000" w:rsidP="00000000" w:rsidRDefault="00000000" w:rsidRPr="00000000">
      <w:pPr>
        <w:spacing w:before="40" w:line="240" w:lineRule="auto"/>
        <w:ind w:firstLine="540"/>
        <w:contextualSpacing w:val="0"/>
        <w:jc w:val="both"/>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обсяг отриманої безповоротної фінансової допомоги (у т.ч. за джерелами надходжень), залученої для проведення культурно-мистецьких заходів, тис.грн.</w:t>
      </w:r>
    </w:p>
    <w:p w:rsidR="00000000" w:rsidDel="00000000" w:rsidP="00000000" w:rsidRDefault="00000000" w:rsidRPr="00000000">
      <w:pPr>
        <w:spacing w:before="40" w:line="240" w:lineRule="auto"/>
        <w:ind w:firstLine="709"/>
        <w:contextualSpacing w:val="0"/>
        <w:jc w:val="both"/>
      </w:pPr>
      <w:r w:rsidDel="00000000" w:rsidR="00000000" w:rsidRPr="00000000">
        <w:rPr>
          <w:rFonts w:ascii="Times New Roman" w:cs="Times New Roman" w:eastAsia="Times New Roman" w:hAnsi="Times New Roman"/>
          <w:rtl w:val="0"/>
        </w:rPr>
        <w:t xml:space="preserve"> </w:t>
      </w:r>
    </w:p>
    <w:tbl>
      <w:tblPr>
        <w:tblStyle w:val="Table1"/>
        <w:bidi w:val="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5670"/>
        <w:tblGridChange w:id="0">
          <w:tblGrid>
            <w:gridCol w:w="3210"/>
            <w:gridCol w:w="567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Завдання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700"/>
              <w:contextualSpacing w:val="0"/>
              <w:jc w:val="both"/>
            </w:pPr>
            <w:r w:rsidDel="00000000" w:rsidR="00000000" w:rsidRPr="00000000">
              <w:rPr>
                <w:rFonts w:ascii="Times New Roman" w:cs="Times New Roman" w:eastAsia="Times New Roman" w:hAnsi="Times New Roman"/>
                <w:rtl w:val="0"/>
              </w:rPr>
              <w:t xml:space="preserve">Потенційно можливі сфери реалізації проектів</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709"/>
              <w:contextualSpacing w:val="0"/>
              <w:jc w:val="both"/>
            </w:pPr>
            <w:r w:rsidDel="00000000" w:rsidR="00000000" w:rsidRPr="00000000">
              <w:rPr>
                <w:rFonts w:ascii="Times New Roman" w:cs="Times New Roman" w:eastAsia="Times New Roman" w:hAnsi="Times New Roman"/>
                <w:rtl w:val="0"/>
              </w:rPr>
              <w:t xml:space="preserve">2.4.1. Розбудова якісно нової культурної  інфраструктури</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Створення відкритих комунікаційних просторів для реалізації проектів у сфері культури та задоволення потреб громад.</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Створення на території області постійно діючих центрів громадської активності, мистецьких та дискусійних майданчиків, творчих резиденцій, мистецьких інкубаторів, ко-воркінгових центрів та інших об’єктів – як центрів розвитку сучасних креативних індустрій та залучення до загального культурного простору внутрішньо переміщених осіб та мешканців тимчасово окупованих територій.</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709"/>
              <w:contextualSpacing w:val="0"/>
              <w:jc w:val="both"/>
            </w:pPr>
            <w:r w:rsidDel="00000000" w:rsidR="00000000" w:rsidRPr="00000000">
              <w:rPr>
                <w:rFonts w:ascii="Times New Roman" w:cs="Times New Roman" w:eastAsia="Times New Roman" w:hAnsi="Times New Roman"/>
                <w:rtl w:val="0"/>
              </w:rPr>
              <w:t xml:space="preserve">2.4.2. Запровадження сучасних механізмів менеджменту культури</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Сприяння модернізації закладів культури та оптимізації їх діяльності з метою збереження наявних осередків культури територіальних громад, особливо у сільській місцевості.</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Налагодження партнерських зв’язків з метою вивчення досвіду впровадження  інноваційних механізмів розбудови культурного простору, реалізації культурних проектів.</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Організація семінарів, тренінгів, презентацій, круглих столів з підвищення обізнаності щодо сучасних механізмів менеджменту у культурній сфері.</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Впровадження інноваційних освітніх програм та програм підвищення кваліфікації професійних кадрів у сфері культури, які відповідають світовим стандартам в т.ч. щодо інклюзивної освіти для постраждалих від воєнних дій.</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Створення кластеру розвитку культури.</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709"/>
              <w:contextualSpacing w:val="0"/>
              <w:jc w:val="both"/>
            </w:pPr>
            <w:r w:rsidDel="00000000" w:rsidR="00000000" w:rsidRPr="00000000">
              <w:rPr>
                <w:rFonts w:ascii="Times New Roman" w:cs="Times New Roman" w:eastAsia="Times New Roman" w:hAnsi="Times New Roman"/>
                <w:rtl w:val="0"/>
              </w:rPr>
              <w:t xml:space="preserve">2.4.3. Підтримка інноваційних проектів та культурно-мистецьких заходів, що формують імідж регіону</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Щорічні заходи та проекти, важливі для формування та посилення позитивного іміджу Запорізького краю:</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Міжнародний конкурс-фестиваль дитячого та юнацького виконавського мистецтва «Акорди Хортиці»;</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Фестиваль на вищу театральну нагороду Придніпров’я «Січеславна»;</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Фестиваль духової та естрадної музики «Таврійські сурми»;</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Всеукраїнський фестиваль-конкурс хореографічного мистецтва «Барвиста Хортиця»;</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Всеукраїнський фестиваль дитячої творчості «Топ-Топ»;</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Фестиваль для юнацтва та молоді «Зірки Азову»;</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Всеукраїнський козацький фестиваль «Покрова на Хортиці»;</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Міжнародний мистецький пленер «Хортиця крізь віки»;</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Міжнародний фестиваль «Запорізька книжкова толока»;</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Всеукраїнський фестиваль «Ленд-арт»;</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Етно-екстремально-культурологічний проект «Міст» та ін.</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Проекти по збереженню та популяризації об’єктів нематеріальної культурної спадщини (згідно конвенції ЮНЕСКО).</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Проекти, спрямовані на залучення грантового фінансування для розвитку культури національних меншин і розширення міжнародної культурної співпраці.</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Розробка та впровадження дієвого механізму підтримки та фінансування ініціатив громадськості з реалізації проектів, заходів, програм за партисипаційним принципом.</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709"/>
              <w:contextualSpacing w:val="0"/>
              <w:jc w:val="both"/>
            </w:pPr>
            <w:r w:rsidDel="00000000" w:rsidR="00000000" w:rsidRPr="00000000">
              <w:rPr>
                <w:rFonts w:ascii="Times New Roman" w:cs="Times New Roman" w:eastAsia="Times New Roman" w:hAnsi="Times New Roman"/>
                <w:rtl w:val="0"/>
              </w:rPr>
              <w:t xml:space="preserve">2.4.4. Розвиток креативної економіки, як наслідок формування сучасного культурного середовища</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Сприяння розвитку креативної економіки шляхом створення умов для діалогу і співробітництва суб’єктів економічної, культурної та соціальної сфер.</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Формування привабливого інвестиційного клімату, у т.ч. через розширення міжнародної співпраці у сфері культури.</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Створення у регіоні системи підготовки та перепрофілювання кадрів для галузей креативної економіки.</w:t>
            </w:r>
          </w:p>
          <w:p w:rsidR="00000000" w:rsidDel="00000000" w:rsidP="00000000" w:rsidRDefault="00000000" w:rsidRPr="00000000">
            <w:pPr>
              <w:spacing w:before="40" w:line="240" w:lineRule="auto"/>
              <w:ind w:firstLine="260"/>
              <w:contextualSpacing w:val="0"/>
              <w:jc w:val="both"/>
            </w:pPr>
            <w:r w:rsidDel="00000000" w:rsidR="00000000" w:rsidRPr="00000000">
              <w:rPr>
                <w:rFonts w:ascii="Times New Roman" w:cs="Times New Roman" w:eastAsia="Times New Roman" w:hAnsi="Times New Roman"/>
                <w:rtl w:val="0"/>
              </w:rPr>
              <w:t xml:space="preserve">Запровадження програм працевлаштування та самозайнятості, у тому числі для соціально вразливих верств населення (люди з інвалідністю, з невиліковними захворюваннями, літні люди, учасники антитерористичної операції, внутрішньо переміщені особи).</w:t>
            </w:r>
          </w:p>
        </w:tc>
      </w:tr>
    </w:tbl>
    <w:p w:rsidR="00000000" w:rsidDel="00000000" w:rsidP="00000000" w:rsidRDefault="00000000" w:rsidRPr="00000000">
      <w:pPr>
        <w:spacing w:before="40" w:line="240" w:lineRule="auto"/>
        <w:ind w:firstLine="709"/>
        <w:contextualSpacing w:val="0"/>
        <w:jc w:val="both"/>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0" w:before="40" w:line="240" w:lineRule="auto"/>
        <w:ind w:firstLine="709"/>
        <w:contextualSpacing w:val="0"/>
        <w:jc w:val="both"/>
      </w:pPr>
      <w:r w:rsidDel="00000000" w:rsidR="00000000" w:rsidRPr="00000000">
        <w:rPr>
          <w:rtl w:val="0"/>
        </w:rPr>
      </w:r>
    </w:p>
    <w:sectPr>
      <w:pgSz w:h="16838" w:w="11906"/>
      <w:pgMar w:bottom="1134" w:top="1134" w:left="1620" w:right="85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789" w:firstLine="1429"/>
      </w:pPr>
      <w:rPr>
        <w:rFonts w:ascii="Arial" w:cs="Arial" w:eastAsia="Arial" w:hAnsi="Arial"/>
        <w:vertAlign w:val="baseline"/>
      </w:rPr>
    </w:lvl>
    <w:lvl w:ilvl="1">
      <w:start w:val="1"/>
      <w:numFmt w:val="bullet"/>
      <w:lvlText w:val="o"/>
      <w:lvlJc w:val="left"/>
      <w:pPr>
        <w:ind w:left="2149" w:firstLine="1789"/>
      </w:pPr>
      <w:rPr>
        <w:rFonts w:ascii="Arial" w:cs="Arial" w:eastAsia="Arial" w:hAnsi="Arial"/>
        <w:vertAlign w:val="baseline"/>
      </w:rPr>
    </w:lvl>
    <w:lvl w:ilvl="2">
      <w:start w:val="1"/>
      <w:numFmt w:val="bullet"/>
      <w:lvlText w:val="▪"/>
      <w:lvlJc w:val="left"/>
      <w:pPr>
        <w:ind w:left="2869" w:firstLine="2509"/>
      </w:pPr>
      <w:rPr>
        <w:rFonts w:ascii="Arial" w:cs="Arial" w:eastAsia="Arial" w:hAnsi="Arial"/>
        <w:vertAlign w:val="baseline"/>
      </w:rPr>
    </w:lvl>
    <w:lvl w:ilvl="3">
      <w:start w:val="1"/>
      <w:numFmt w:val="bullet"/>
      <w:lvlText w:val="●"/>
      <w:lvlJc w:val="left"/>
      <w:pPr>
        <w:ind w:left="3589" w:firstLine="3229"/>
      </w:pPr>
      <w:rPr>
        <w:rFonts w:ascii="Arial" w:cs="Arial" w:eastAsia="Arial" w:hAnsi="Arial"/>
        <w:vertAlign w:val="baseline"/>
      </w:rPr>
    </w:lvl>
    <w:lvl w:ilvl="4">
      <w:start w:val="1"/>
      <w:numFmt w:val="bullet"/>
      <w:lvlText w:val="o"/>
      <w:lvlJc w:val="left"/>
      <w:pPr>
        <w:ind w:left="4309" w:firstLine="3949"/>
      </w:pPr>
      <w:rPr>
        <w:rFonts w:ascii="Arial" w:cs="Arial" w:eastAsia="Arial" w:hAnsi="Arial"/>
        <w:vertAlign w:val="baseline"/>
      </w:rPr>
    </w:lvl>
    <w:lvl w:ilvl="5">
      <w:start w:val="1"/>
      <w:numFmt w:val="bullet"/>
      <w:lvlText w:val="▪"/>
      <w:lvlJc w:val="left"/>
      <w:pPr>
        <w:ind w:left="5029" w:firstLine="4669"/>
      </w:pPr>
      <w:rPr>
        <w:rFonts w:ascii="Arial" w:cs="Arial" w:eastAsia="Arial" w:hAnsi="Arial"/>
        <w:vertAlign w:val="baseline"/>
      </w:rPr>
    </w:lvl>
    <w:lvl w:ilvl="6">
      <w:start w:val="1"/>
      <w:numFmt w:val="bullet"/>
      <w:lvlText w:val="●"/>
      <w:lvlJc w:val="left"/>
      <w:pPr>
        <w:ind w:left="5749" w:firstLine="5389"/>
      </w:pPr>
      <w:rPr>
        <w:rFonts w:ascii="Arial" w:cs="Arial" w:eastAsia="Arial" w:hAnsi="Arial"/>
        <w:vertAlign w:val="baseline"/>
      </w:rPr>
    </w:lvl>
    <w:lvl w:ilvl="7">
      <w:start w:val="1"/>
      <w:numFmt w:val="bullet"/>
      <w:lvlText w:val="o"/>
      <w:lvlJc w:val="left"/>
      <w:pPr>
        <w:ind w:left="6469" w:firstLine="6109"/>
      </w:pPr>
      <w:rPr>
        <w:rFonts w:ascii="Arial" w:cs="Arial" w:eastAsia="Arial" w:hAnsi="Arial"/>
        <w:vertAlign w:val="baseline"/>
      </w:rPr>
    </w:lvl>
    <w:lvl w:ilvl="8">
      <w:start w:val="1"/>
      <w:numFmt w:val="bullet"/>
      <w:lvlText w:val="▪"/>
      <w:lvlJc w:val="left"/>
      <w:pPr>
        <w:ind w:left="7189" w:firstLine="6829"/>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