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customXml/item1.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tabs>
          <w:tab w:val="left" w:pos="3935" w:leader="none"/>
        </w:tabs>
        <w:spacing w:lineRule="auto" w:line="240" w:after="0" w:beforeAutospacing="0" w:afterAutospacing="0"/>
        <w:jc w:val="center"/>
        <w:rPr>
          <w:rFonts w:ascii="Times New Roman" w:hAnsi="Times New Roman"/>
          <w:b w:val="1"/>
          <w:bCs w:val="1"/>
          <w:sz w:val="28"/>
          <w:szCs w:val="28"/>
        </w:rPr>
      </w:pPr>
      <w:r>
        <w:rPr>
          <w:rFonts w:ascii="Times New Roman" w:hAnsi="Times New Roman"/>
          <w:b w:val="1"/>
          <w:bCs w:val="1"/>
          <w:sz w:val="28"/>
          <w:szCs w:val="28"/>
        </w:rPr>
        <w:t xml:space="preserve">АНАЛІЗ РЕГУЛЯТОРНОГО ВПЛИВУ </w:t>
      </w:r>
    </w:p>
    <w:p>
      <w:pPr>
        <w:tabs>
          <w:tab w:val="left" w:pos="3935" w:leader="none"/>
        </w:tabs>
        <w:spacing w:lineRule="auto" w:line="240" w:after="0" w:beforeAutospacing="0" w:afterAutospacing="0"/>
        <w:ind w:firstLine="567"/>
        <w:jc w:val="center"/>
        <w:rPr>
          <w:rFonts w:ascii="Times New Roman" w:hAnsi="Times New Roman"/>
          <w:b w:val="1"/>
          <w:bCs w:val="1"/>
          <w:sz w:val="28"/>
          <w:szCs w:val="28"/>
        </w:rPr>
      </w:pPr>
    </w:p>
    <w:p>
      <w:pPr>
        <w:tabs>
          <w:tab w:val="left" w:pos="3935" w:leader="none"/>
        </w:tabs>
        <w:spacing w:lineRule="auto" w:line="240" w:after="0" w:beforeAutospacing="0" w:afterAutospacing="0"/>
        <w:jc w:val="center"/>
        <w:rPr>
          <w:rFonts w:ascii="Times New Roman" w:hAnsi="Times New Roman"/>
          <w:b w:val="1"/>
          <w:bCs w:val="1"/>
          <w:sz w:val="28"/>
          <w:szCs w:val="28"/>
        </w:rPr>
      </w:pPr>
      <w:r>
        <w:rPr>
          <w:rFonts w:ascii="Times New Roman" w:hAnsi="Times New Roman"/>
          <w:b w:val="1"/>
          <w:bCs w:val="1"/>
          <w:sz w:val="28"/>
          <w:szCs w:val="28"/>
        </w:rPr>
        <w:t>до проєкту розпорядження голови</w:t>
      </w:r>
      <w:r>
        <w:rPr>
          <w:rFonts w:ascii="Times New Roman" w:hAnsi="Times New Roman"/>
          <w:sz w:val="28"/>
          <w:szCs w:val="28"/>
        </w:rPr>
        <w:t xml:space="preserve"> </w:t>
      </w:r>
      <w:r>
        <w:rPr>
          <w:rFonts w:ascii="Times New Roman" w:hAnsi="Times New Roman"/>
          <w:b w:val="1"/>
          <w:bCs w:val="1"/>
          <w:sz w:val="28"/>
          <w:szCs w:val="28"/>
        </w:rPr>
        <w:t xml:space="preserve">Запорізької обласної державної адміністрації, начальника Запорізької обласної військової адміністрації             «Про затвердження Положення про обласну комісію з прийняття рішень щодо віднесення земельних ділянок сільськогосподарського призначення до зон ризикованого землеробства»</w:t>
      </w:r>
    </w:p>
    <w:p>
      <w:pPr>
        <w:tabs>
          <w:tab w:val="left" w:pos="3935" w:leader="none"/>
        </w:tabs>
        <w:spacing w:lineRule="auto" w:line="240" w:after="0" w:beforeAutospacing="0" w:afterAutospacing="0"/>
        <w:ind w:firstLine="567"/>
        <w:jc w:val="center"/>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Аналіз регуляторного впливу розроблений на виконання та з дотриманням вимог Закону України «Про засади державної регуляторної політики у сфері господарської діяльності», з урахуванням Методики проведення аналізу впливу регуляторного акта, затвердженої постановою Кабінету Міністрів України                  від 11 березня 2004 року № 308 «Про затвердження методик проведення аналізу впливу та відстеження результативності регуляторного акта».</w:t>
      </w:r>
    </w:p>
    <w:p>
      <w:pPr>
        <w:tabs>
          <w:tab w:val="left" w:pos="3935" w:leader="none"/>
        </w:tabs>
        <w:spacing w:lineRule="auto" w:line="240" w:after="0" w:beforeAutospacing="0" w:afterAutospacing="0"/>
        <w:ind w:firstLine="567"/>
        <w:jc w:val="center"/>
        <w:rPr>
          <w:rFonts w:ascii="Times New Roman" w:hAnsi="Times New Roman"/>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 w:val="left" w:pos="3935" w:leader="none"/>
        </w:tabs>
        <w:spacing w:lineRule="auto" w:line="240" w:after="0" w:beforeAutospacing="0" w:afterAutospacing="0"/>
        <w:ind w:firstLine="567" w:left="0"/>
        <w:jc w:val="both"/>
        <w:rPr>
          <w:rFonts w:ascii="Times New Roman" w:hAnsi="Times New Roman"/>
          <w:b w:val="1"/>
          <w:bCs w:val="1"/>
          <w:sz w:val="28"/>
          <w:szCs w:val="28"/>
        </w:rPr>
      </w:pPr>
      <w:r>
        <w:rPr>
          <w:rFonts w:ascii="Times New Roman" w:hAnsi="Times New Roman"/>
          <w:b w:val="1"/>
          <w:bCs w:val="1"/>
          <w:sz w:val="28"/>
          <w:szCs w:val="28"/>
        </w:rPr>
        <w:t>Визначення проблеми, яку передбачається розв'язати шляхом державного регулювання</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40" w:after="0" w:beforeAutospacing="0" w:afterAutospacing="0"/>
        <w:ind w:firstLine="709"/>
        <w:jc w:val="both"/>
        <w:rPr>
          <w:rFonts w:ascii="Times New Roman" w:hAnsi="Times New Roman"/>
          <w:sz w:val="28"/>
          <w:szCs w:val="28"/>
        </w:rPr>
      </w:pPr>
    </w:p>
    <w:p>
      <w:pPr>
        <w:spacing w:lineRule="auto" w:line="240" w:after="0" w:beforeAutospacing="0" w:afterAutospacing="0"/>
        <w:ind w:firstLine="563"/>
        <w:jc w:val="both"/>
        <w:rPr>
          <w:rFonts w:ascii="Times New Roman" w:hAnsi="Times New Roman"/>
          <w:sz w:val="28"/>
          <w:szCs w:val="28"/>
        </w:rPr>
      </w:pPr>
      <w:r>
        <w:rPr>
          <w:rFonts w:ascii="Times New Roman" w:hAnsi="Times New Roman"/>
          <w:sz w:val="28"/>
          <w:szCs w:val="28"/>
        </w:rPr>
        <w:t>З метою забезпечення державної підтримки аграрного сектору та планування його відновлення у відповідності до пункту 17</w:t>
      </w:r>
      <w:r>
        <w:rPr>
          <w:rFonts w:ascii="Times New Roman" w:hAnsi="Times New Roman"/>
          <w:sz w:val="28"/>
          <w:szCs w:val="28"/>
          <w:vertAlign w:val="superscript"/>
        </w:rPr>
        <w:t>2</w:t>
      </w:r>
      <w:r>
        <w:rPr>
          <w:rFonts w:ascii="Times New Roman" w:hAnsi="Times New Roman"/>
          <w:sz w:val="28"/>
          <w:szCs w:val="28"/>
        </w:rPr>
        <w:t>.13 статті 17</w:t>
      </w:r>
      <w:r>
        <w:rPr>
          <w:rFonts w:ascii="Times New Roman" w:hAnsi="Times New Roman"/>
          <w:sz w:val="28"/>
          <w:szCs w:val="28"/>
          <w:vertAlign w:val="superscript"/>
        </w:rPr>
        <w:t>2</w:t>
      </w:r>
      <w:r>
        <w:rPr>
          <w:rFonts w:ascii="Times New Roman" w:hAnsi="Times New Roman"/>
          <w:sz w:val="28"/>
          <w:szCs w:val="28"/>
        </w:rPr>
        <w:t xml:space="preserve"> Закону України «Про засади державної аграрної політики та державної політики сільського розвитку» (далі – Закон) Постановою Кабінету Міністрів України від 04 березня 2026 року №  306 затверджено Порядок та критерії визначення зон ризикованого землеробства (далі – Порядок). Зокрема Порядком встановлено механізм визначення зон ризикованого землеробства внаслідок впливу несприятливих природно-кліматичних умов та/або ведення бойових дій.</w:t>
      </w:r>
    </w:p>
    <w:p>
      <w:pPr>
        <w:spacing w:lineRule="auto" w:line="240" w:after="0" w:beforeAutospacing="0" w:afterAutospacing="0"/>
        <w:ind w:firstLine="563"/>
        <w:jc w:val="both"/>
        <w:rPr>
          <w:rFonts w:ascii="Times New Roman" w:hAnsi="Times New Roman"/>
          <w:sz w:val="28"/>
          <w:szCs w:val="28"/>
        </w:rPr>
      </w:pPr>
      <w:r>
        <w:rPr>
          <w:rFonts w:ascii="Times New Roman" w:hAnsi="Times New Roman"/>
          <w:sz w:val="28"/>
          <w:szCs w:val="28"/>
        </w:rPr>
        <w:t>Водночас реалізація його положень неможлива до утворення на рівні області комісій з прийняття рішень щодо віднесення земельних ділянок сільськогосподарського призначення до зон ризикованого землеробства, що передбачено пунктом 7 Порядку</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40" w:after="0" w:beforeAutospacing="0" w:afterAutospacing="0"/>
        <w:ind w:firstLine="567"/>
        <w:jc w:val="both"/>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Основні групи (підгрупи), на які проблема справляє вплив: </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40" w:after="0" w:beforeAutospacing="0" w:afterAutospacing="0"/>
        <w:jc w:val="both"/>
        <w:rPr>
          <w:rFonts w:ascii="Times New Roman" w:hAnsi="Times New Roman"/>
          <w:sz w:val="28"/>
          <w:szCs w:val="28"/>
        </w:rPr>
      </w:pPr>
    </w:p>
    <w:tbl>
      <w:tblPr>
        <w:tblStyle w:val="T3"/>
        <w:tblW w:w="9776"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5807"/>
        <w:gridCol w:w="1985"/>
        <w:gridCol w:w="1984"/>
      </w:tblGrid>
      <w:tr>
        <w:tc>
          <w:tcPr>
            <w:tcW w:w="580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center"/>
              <w:rPr>
                <w:rFonts w:ascii="Times New Roman" w:hAnsi="Times New Roman"/>
                <w:sz w:val="28"/>
                <w:szCs w:val="28"/>
              </w:rPr>
            </w:pPr>
            <w:r>
              <w:rPr>
                <w:rFonts w:ascii="Times New Roman" w:hAnsi="Times New Roman"/>
                <w:sz w:val="28"/>
                <w:szCs w:val="28"/>
              </w:rPr>
              <w:t>Групи (підгрупи)</w:t>
            </w:r>
          </w:p>
        </w:tc>
        <w:tc>
          <w:tcPr>
            <w:tcW w:w="198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center"/>
              <w:rPr>
                <w:rFonts w:ascii="Times New Roman" w:hAnsi="Times New Roman"/>
                <w:sz w:val="28"/>
                <w:szCs w:val="28"/>
              </w:rPr>
            </w:pPr>
            <w:r>
              <w:rPr>
                <w:rFonts w:ascii="Times New Roman" w:hAnsi="Times New Roman"/>
                <w:sz w:val="28"/>
                <w:szCs w:val="28"/>
              </w:rPr>
              <w:t>Так</w:t>
            </w:r>
          </w:p>
        </w:tc>
        <w:tc>
          <w:tcPr>
            <w:tcW w:w="1984"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center"/>
              <w:rPr>
                <w:rFonts w:ascii="Times New Roman" w:hAnsi="Times New Roman"/>
                <w:sz w:val="28"/>
                <w:szCs w:val="28"/>
              </w:rPr>
            </w:pPr>
            <w:r>
              <w:rPr>
                <w:rFonts w:ascii="Times New Roman" w:hAnsi="Times New Roman"/>
                <w:sz w:val="28"/>
                <w:szCs w:val="28"/>
              </w:rPr>
              <w:t>Ні</w:t>
            </w:r>
          </w:p>
        </w:tc>
      </w:tr>
      <w:tr>
        <w:tc>
          <w:tcPr>
            <w:tcW w:w="580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both"/>
              <w:rPr>
                <w:rFonts w:ascii="Times New Roman" w:hAnsi="Times New Roman"/>
                <w:sz w:val="28"/>
                <w:szCs w:val="28"/>
              </w:rPr>
            </w:pPr>
            <w:r>
              <w:rPr>
                <w:rFonts w:ascii="Times New Roman" w:hAnsi="Times New Roman"/>
                <w:sz w:val="28"/>
                <w:szCs w:val="28"/>
              </w:rPr>
              <w:t>Громадяни</w:t>
            </w:r>
          </w:p>
        </w:tc>
        <w:tc>
          <w:tcPr>
            <w:tcW w:w="1985" w:type="dxa"/>
          </w:tcPr>
          <w:p>
            <w:pPr>
              <w:tabs>
                <w:tab w:val="left" w:pos="1134" w:leader="none"/>
              </w:tabs>
              <w:spacing w:lineRule="auto" w:line="259" w:beforeAutospacing="0" w:afterAutospacing="0"/>
              <w:jc w:val="center"/>
              <w:rPr>
                <w:rFonts w:ascii="Times New Roman" w:hAnsi="Times New Roman"/>
                <w:sz w:val="28"/>
                <w:szCs w:val="28"/>
              </w:rPr>
            </w:pPr>
            <w:r>
              <w:rPr>
                <w:sz w:val="28"/>
                <w:szCs w:val="28"/>
              </w:rPr>
              <w:t>–</w:t>
            </w:r>
          </w:p>
        </w:tc>
        <w:tc>
          <w:tcPr>
            <w:tcW w:w="1984" w:type="dxa"/>
          </w:tcPr>
          <w:p>
            <w:pPr>
              <w:tabs>
                <w:tab w:val="left" w:pos="1134" w:leader="none"/>
              </w:tabs>
              <w:jc w:val="center"/>
            </w:pPr>
            <w:r>
              <w:rPr>
                <w:rFonts w:ascii="Times New Roman" w:hAnsi="Times New Roman"/>
                <w:sz w:val="28"/>
                <w:szCs w:val="28"/>
              </w:rPr>
              <w:t>+</w:t>
            </w:r>
          </w:p>
        </w:tc>
      </w:tr>
      <w:tr>
        <w:tc>
          <w:tcPr>
            <w:tcW w:w="580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both"/>
              <w:rPr>
                <w:rFonts w:ascii="Times New Roman" w:hAnsi="Times New Roman"/>
                <w:sz w:val="28"/>
                <w:szCs w:val="28"/>
              </w:rPr>
            </w:pPr>
            <w:r>
              <w:rPr>
                <w:rFonts w:ascii="Times New Roman" w:hAnsi="Times New Roman"/>
                <w:sz w:val="28"/>
                <w:szCs w:val="28"/>
              </w:rPr>
              <w:t>Держава</w:t>
            </w:r>
          </w:p>
        </w:tc>
        <w:tc>
          <w:tcPr>
            <w:tcW w:w="1985" w:type="dxa"/>
          </w:tcPr>
          <w:p>
            <w:pPr>
              <w:tabs>
                <w:tab w:val="left" w:pos="1134" w:leader="none"/>
              </w:tabs>
              <w:spacing w:lineRule="auto" w:line="259" w:beforeAutospacing="0" w:afterAutospacing="0"/>
              <w:jc w:val="center"/>
            </w:pPr>
            <w:r>
              <w:rPr>
                <w:rFonts w:ascii="Times New Roman" w:hAnsi="Times New Roman"/>
                <w:sz w:val="28"/>
                <w:szCs w:val="28"/>
              </w:rPr>
              <w:t>+</w:t>
            </w:r>
          </w:p>
        </w:tc>
        <w:tc>
          <w:tcPr>
            <w:tcW w:w="1984" w:type="dxa"/>
          </w:tcPr>
          <w:p>
            <w:pPr>
              <w:tabs>
                <w:tab w:val="left" w:pos="1134" w:leader="none"/>
              </w:tabs>
              <w:jc w:val="center"/>
            </w:pPr>
            <w:r>
              <w:rPr>
                <w:sz w:val="28"/>
                <w:szCs w:val="28"/>
              </w:rPr>
              <w:t>–</w:t>
            </w:r>
          </w:p>
        </w:tc>
      </w:tr>
      <w:tr>
        <w:tc>
          <w:tcPr>
            <w:tcW w:w="580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both"/>
              <w:rPr>
                <w:rFonts w:ascii="Times New Roman" w:hAnsi="Times New Roman"/>
                <w:sz w:val="28"/>
                <w:szCs w:val="28"/>
              </w:rPr>
            </w:pPr>
            <w:r>
              <w:rPr>
                <w:rFonts w:ascii="Times New Roman" w:hAnsi="Times New Roman"/>
                <w:sz w:val="28"/>
                <w:szCs w:val="28"/>
              </w:rPr>
              <w:t>Суб’єкти господарювання</w:t>
            </w:r>
          </w:p>
        </w:tc>
        <w:tc>
          <w:tcPr>
            <w:tcW w:w="198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center"/>
              <w:rPr>
                <w:rFonts w:ascii="Times New Roman" w:hAnsi="Times New Roman"/>
                <w:sz w:val="28"/>
                <w:szCs w:val="28"/>
              </w:rPr>
            </w:pPr>
            <w:r>
              <w:rPr>
                <w:rFonts w:ascii="Times New Roman" w:hAnsi="Times New Roman"/>
                <w:sz w:val="28"/>
                <w:szCs w:val="28"/>
              </w:rPr>
              <w:t>+</w:t>
            </w:r>
          </w:p>
        </w:tc>
        <w:tc>
          <w:tcPr>
            <w:tcW w:w="1984" w:type="dxa"/>
          </w:tcPr>
          <w:p>
            <w:pPr>
              <w:jc w:val="center"/>
            </w:pPr>
            <w:r>
              <w:rPr>
                <w:sz w:val="28"/>
                <w:szCs w:val="28"/>
              </w:rPr>
              <w:t>–</w:t>
            </w:r>
          </w:p>
        </w:tc>
      </w:tr>
      <w:tr>
        <w:tc>
          <w:tcPr>
            <w:tcW w:w="580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both"/>
              <w:rPr>
                <w:rFonts w:ascii="Times New Roman" w:hAnsi="Times New Roman"/>
                <w:sz w:val="28"/>
                <w:szCs w:val="28"/>
              </w:rPr>
            </w:pPr>
            <w:r>
              <w:rPr>
                <w:rFonts w:ascii="Times New Roman" w:hAnsi="Times New Roman"/>
                <w:sz w:val="28"/>
                <w:szCs w:val="28"/>
              </w:rPr>
              <w:t>у тому числі суб’єкти малого підприємництва</w:t>
            </w:r>
          </w:p>
        </w:tc>
        <w:tc>
          <w:tcPr>
            <w:tcW w:w="198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1134" w:leader="none"/>
              </w:tabs>
              <w:spacing w:lineRule="auto" w:line="259" w:beforeAutospacing="0" w:afterAutospacing="0"/>
              <w:jc w:val="center"/>
              <w:rPr>
                <w:rFonts w:ascii="Times New Roman" w:hAnsi="Times New Roman"/>
                <w:sz w:val="28"/>
                <w:szCs w:val="28"/>
              </w:rPr>
            </w:pPr>
            <w:r>
              <w:rPr>
                <w:rFonts w:ascii="Times New Roman" w:hAnsi="Times New Roman"/>
                <w:sz w:val="28"/>
                <w:szCs w:val="28"/>
              </w:rPr>
              <w:t>+</w:t>
            </w:r>
          </w:p>
        </w:tc>
        <w:tc>
          <w:tcPr>
            <w:tcW w:w="1984" w:type="dxa"/>
          </w:tcPr>
          <w:p>
            <w:pPr>
              <w:jc w:val="center"/>
            </w:pPr>
            <w:r>
              <w:rPr>
                <w:sz w:val="28"/>
                <w:szCs w:val="28"/>
              </w:rPr>
              <w:t>–</w:t>
            </w: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hd w:val="clear" w:fill="FFFFFF"/>
        <w:spacing w:lineRule="auto" w:line="240" w:after="0" w:beforeAutospacing="0" w:afterAutospacing="0"/>
        <w:ind w:left="927"/>
        <w:jc w:val="both"/>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Після прийняття регуляторного акта буде забезпечено функціонування обласної комісії зможе забезпечити реалізацію положень Порядку та забезпечити розгляд заяв виробників сільськогосподарської продукції та приймати рішення щодо віднесення земельних ділянок сільськогосподарського призначення до зон ризикованого землеробства.</w:t>
      </w:r>
    </w:p>
    <w:p>
      <w:pPr>
        <w:widowControl w:val="0"/>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jc w:val="both"/>
        <w:rPr>
          <w:rFonts w:ascii="Times New Roman" w:hAnsi="Times New Roman"/>
          <w:b w:val="1"/>
          <w:bCs w:val="1"/>
          <w:sz w:val="28"/>
          <w:szCs w:val="28"/>
        </w:rPr>
      </w:pPr>
      <w:r>
        <w:rPr>
          <w:rFonts w:ascii="Times New Roman" w:hAnsi="Times New Roman"/>
          <w:b w:val="1"/>
          <w:bCs w:val="1"/>
          <w:sz w:val="28"/>
          <w:szCs w:val="28"/>
        </w:rPr>
        <w:t>Цілі державного регулювання</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hd w:val="clear" w:fill="FFFFFF"/>
        <w:spacing w:lineRule="auto" w:line="240" w:after="0" w:beforeAutospacing="0" w:afterAutospacing="0"/>
        <w:ind w:firstLine="567"/>
        <w:jc w:val="both"/>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Метою прийняття даного регуляторного акта є забезпечення реалізації положень Порядку та Закону стосовно визначення виробників сільськогосподарської продукції, що здійснюють господарську діяльність у зонах ризикованого землеробства та мають право на отримання державної підтримки.</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hd w:val="clear" w:fill="FFFFFF"/>
        <w:spacing w:lineRule="auto" w:line="240" w:after="0" w:beforeAutospacing="0" w:afterAutospacing="0"/>
        <w:ind w:firstLine="567"/>
        <w:jc w:val="both"/>
        <w:rPr>
          <w:rFonts w:ascii="Times New Roman" w:hAnsi="Times New Roman"/>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left="0"/>
        <w:rPr>
          <w:rFonts w:ascii="Times New Roman" w:hAnsi="Times New Roman"/>
          <w:b w:val="1"/>
          <w:bCs w:val="1"/>
          <w:sz w:val="28"/>
          <w:szCs w:val="28"/>
        </w:rPr>
      </w:pPr>
      <w:r>
        <w:rPr>
          <w:rFonts w:ascii="Times New Roman" w:hAnsi="Times New Roman"/>
          <w:b w:val="1"/>
          <w:bCs w:val="1"/>
          <w:sz w:val="28"/>
          <w:szCs w:val="28"/>
        </w:rPr>
        <w:t>Визначення та оцінка альтернативних способів досягнення зазначених цілей</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left="927"/>
        <w:rPr>
          <w:rFonts w:ascii="Times New Roman" w:hAnsi="Times New Roman"/>
          <w:sz w:val="28"/>
          <w:szCs w:val="28"/>
        </w:rPr>
      </w:pPr>
    </w:p>
    <w:p>
      <w:pPr>
        <w:numPr>
          <w:ilvl w:val="0"/>
          <w:numId w:val="2"/>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rPr>
          <w:rFonts w:ascii="Times New Roman" w:hAnsi="Times New Roman"/>
          <w:sz w:val="28"/>
          <w:szCs w:val="28"/>
        </w:rPr>
      </w:pPr>
      <w:r>
        <w:rPr>
          <w:rFonts w:ascii="Times New Roman" w:hAnsi="Times New Roman"/>
          <w:sz w:val="28"/>
          <w:szCs w:val="28"/>
        </w:rPr>
        <w:t>Альтернативні способи:</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sz w:val="28"/>
          <w:szCs w:val="28"/>
        </w:rPr>
      </w:pPr>
    </w:p>
    <w:tbl>
      <w:tblPr>
        <w:tblStyle w:val="T4"/>
        <w:tblW w:w="9913"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2972"/>
        <w:gridCol w:w="6941"/>
      </w:tblGrid>
      <w:tr>
        <w:tc>
          <w:tcPr>
            <w:tcW w:w="2972"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Вид альтернативи</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p>
        </w:tc>
        <w:tc>
          <w:tcPr>
            <w:tcW w:w="69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Опис альтернативи</w:t>
            </w:r>
          </w:p>
        </w:tc>
      </w:tr>
      <w:tr>
        <w:tc>
          <w:tcPr>
            <w:tcW w:w="2972"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 xml:space="preserve">Затвердити склад та положення про обласну комісію </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i w:val="1"/>
                <w:iCs w:val="1"/>
                <w:color w:val="000000"/>
                <w:sz w:val="28"/>
                <w:szCs w:val="28"/>
              </w:rPr>
            </w:pPr>
            <w:r>
              <w:rPr>
                <w:rFonts w:ascii="Times New Roman" w:hAnsi="Times New Roman"/>
                <w:i w:val="1"/>
                <w:iCs w:val="1"/>
                <w:color w:val="000000"/>
                <w:sz w:val="28"/>
                <w:szCs w:val="28"/>
              </w:rPr>
              <w:t>(Альтернатива 1)</w:t>
            </w:r>
          </w:p>
        </w:tc>
        <w:tc>
          <w:tcPr>
            <w:tcW w:w="6941" w:type="dxa"/>
          </w:tcPr>
          <w:p>
            <w:pPr>
              <w:widowControl w:val="0"/>
              <w:tabs>
                <w:tab w:val="left" w:pos="567" w:leader="none"/>
                <w:tab w:val="left" w:pos="851" w:leader="none"/>
              </w:tabs>
              <w:ind w:left="2"/>
              <w:jc w:val="both"/>
              <w:rPr>
                <w:rFonts w:ascii="Times New Roman" w:hAnsi="Times New Roman"/>
                <w:sz w:val="28"/>
                <w:szCs w:val="28"/>
              </w:rPr>
            </w:pPr>
            <w:r>
              <w:rPr>
                <w:rFonts w:ascii="Times New Roman" w:hAnsi="Times New Roman"/>
                <w:sz w:val="28"/>
                <w:szCs w:val="28"/>
              </w:rPr>
              <w:t>У результаті вибору даної альтернативи забезпечується:</w:t>
            </w:r>
          </w:p>
          <w:p>
            <w:pPr>
              <w:widowControl w:val="0"/>
              <w:tabs>
                <w:tab w:val="left" w:pos="567" w:leader="none"/>
                <w:tab w:val="left" w:pos="851" w:leader="none"/>
              </w:tabs>
              <w:ind w:left="2"/>
              <w:jc w:val="both"/>
              <w:rPr>
                <w:rFonts w:ascii="Times New Roman" w:hAnsi="Times New Roman"/>
                <w:sz w:val="28"/>
                <w:szCs w:val="28"/>
              </w:rPr>
            </w:pPr>
            <w:r>
              <w:rPr>
                <w:rFonts w:ascii="Times New Roman" w:hAnsi="Times New Roman"/>
                <w:sz w:val="28"/>
                <w:szCs w:val="28"/>
              </w:rPr>
              <w:t>повноцінна реалізація норм Порядку та Закону;</w:t>
            </w:r>
          </w:p>
          <w:p>
            <w:pPr>
              <w:widowControl w:val="0"/>
              <w:tabs>
                <w:tab w:val="left" w:pos="567" w:leader="none"/>
                <w:tab w:val="left" w:pos="851" w:leader="none"/>
              </w:tabs>
              <w:ind w:left="2"/>
              <w:jc w:val="both"/>
              <w:rPr>
                <w:rFonts w:ascii="Times New Roman" w:hAnsi="Times New Roman"/>
                <w:sz w:val="28"/>
                <w:szCs w:val="28"/>
              </w:rPr>
            </w:pPr>
            <w:r>
              <w:rPr>
                <w:rFonts w:ascii="Times New Roman" w:hAnsi="Times New Roman"/>
                <w:sz w:val="28"/>
                <w:szCs w:val="28"/>
              </w:rPr>
              <w:t xml:space="preserve">визначення виробників сільськогосподарської продукції, що здійснюють господарську діяльність у зонах ризикованого землеробства на території Запорізької області, та які матимуть право на отримання державної підтримки. </w:t>
            </w:r>
          </w:p>
          <w:p>
            <w:pPr>
              <w:widowControl w:val="0"/>
              <w:tabs>
                <w:tab w:val="left" w:pos="567" w:leader="none"/>
                <w:tab w:val="left" w:pos="851" w:leader="none"/>
              </w:tabs>
              <w:ind w:left="2"/>
              <w:jc w:val="both"/>
              <w:rPr>
                <w:rFonts w:ascii="Times New Roman" w:hAnsi="Times New Roman"/>
                <w:sz w:val="28"/>
                <w:szCs w:val="28"/>
              </w:rPr>
            </w:pPr>
          </w:p>
        </w:tc>
      </w:tr>
      <w:tr>
        <w:tc>
          <w:tcPr>
            <w:tcW w:w="2972" w:type="dxa"/>
          </w:tcPr>
          <w:p>
            <w:pP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Ігнорування норма Порядку щодо створення обласної комісії</w:t>
            </w:r>
          </w:p>
          <w:p>
            <w:pP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(Альтернатива 2)</w:t>
            </w:r>
          </w:p>
        </w:tc>
        <w:tc>
          <w:tcPr>
            <w:tcW w:w="6941" w:type="dxa"/>
          </w:tcPr>
          <w:p>
            <w:pPr>
              <w:widowControl w:val="0"/>
              <w:tabs>
                <w:tab w:val="left" w:pos="567" w:leader="none"/>
                <w:tab w:val="left" w:pos="851" w:leader="none"/>
              </w:tabs>
              <w:ind w:left="2"/>
              <w:jc w:val="both"/>
              <w:rPr>
                <w:rFonts w:ascii="Times New Roman" w:hAnsi="Times New Roman"/>
                <w:sz w:val="28"/>
                <w:szCs w:val="28"/>
              </w:rPr>
            </w:pPr>
            <w:r>
              <w:rPr>
                <w:rFonts w:ascii="Times New Roman" w:hAnsi="Times New Roman"/>
                <w:sz w:val="28"/>
                <w:szCs w:val="28"/>
              </w:rPr>
              <w:t xml:space="preserve">Залишення існуючої ситуації (неприйняття регуляторного акта) унеможливить виконання вимог Порядку та позбавить виробників сільськогосподарської продукції, що здійснюють господарську діяльність у зонах ризикованого землеробства на території Запорізької області, права на отримання державної підтримки. </w:t>
            </w:r>
          </w:p>
          <w:p>
            <w:pPr>
              <w:widowControl w:val="0"/>
              <w:tabs>
                <w:tab w:val="left" w:pos="567" w:leader="none"/>
                <w:tab w:val="left" w:pos="851" w:leader="none"/>
              </w:tabs>
              <w:ind w:left="2"/>
              <w:jc w:val="both"/>
              <w:rPr>
                <w:rFonts w:ascii="Times New Roman" w:hAnsi="Times New Roman"/>
                <w:sz w:val="28"/>
                <w:szCs w:val="28"/>
              </w:rPr>
            </w:pP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sz w:val="28"/>
          <w:szCs w:val="28"/>
        </w:rPr>
      </w:pPr>
    </w:p>
    <w:p>
      <w:pPr>
        <w:numPr>
          <w:ilvl w:val="0"/>
          <w:numId w:val="2"/>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rPr>
          <w:rFonts w:ascii="Times New Roman" w:hAnsi="Times New Roman"/>
          <w:sz w:val="28"/>
          <w:szCs w:val="28"/>
        </w:rPr>
      </w:pPr>
      <w:r>
        <w:rPr>
          <w:rFonts w:ascii="Times New Roman" w:hAnsi="Times New Roman"/>
          <w:sz w:val="28"/>
          <w:szCs w:val="28"/>
        </w:rPr>
        <w:t>Оцінка вибраних альтернативних способів досягнення цілей:</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r>
        <w:rPr>
          <w:rFonts w:ascii="Times New Roman" w:hAnsi="Times New Roman"/>
          <w:i w:val="1"/>
          <w:iCs w:val="1"/>
          <w:sz w:val="28"/>
          <w:szCs w:val="28"/>
        </w:rPr>
        <w:t>Оцінка впливу на сферу інтересів держави</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p>
    <w:tbl>
      <w:tblPr>
        <w:tblStyle w:val="T5"/>
        <w:tblW w:w="9918"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2658"/>
        <w:gridCol w:w="5119"/>
        <w:gridCol w:w="2141"/>
      </w:tblGrid>
      <w:tr>
        <w:tc>
          <w:tcPr>
            <w:tcW w:w="2658"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Вид альтернативи</w:t>
            </w:r>
          </w:p>
        </w:tc>
        <w:tc>
          <w:tcPr>
            <w:tcW w:w="5119"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Вигоди</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Витрати</w:t>
            </w:r>
          </w:p>
        </w:tc>
      </w:tr>
      <w:tr>
        <w:tc>
          <w:tcPr>
            <w:tcW w:w="2658"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1</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i w:val="1"/>
                <w:iCs w:val="1"/>
                <w:sz w:val="28"/>
                <w:szCs w:val="28"/>
              </w:rPr>
            </w:pPr>
          </w:p>
        </w:tc>
        <w:tc>
          <w:tcPr>
            <w:tcW w:w="5119" w:type="dxa"/>
          </w:tcPr>
          <w:p>
            <w:pPr>
              <w:widowControl w:val="0"/>
              <w:tabs>
                <w:tab w:val="left" w:pos="567" w:leader="none"/>
                <w:tab w:val="left" w:pos="851" w:leader="none"/>
              </w:tabs>
              <w:ind w:left="2"/>
              <w:jc w:val="both"/>
              <w:rPr>
                <w:rFonts w:ascii="Times New Roman" w:hAnsi="Times New Roman"/>
                <w:sz w:val="28"/>
                <w:szCs w:val="28"/>
              </w:rPr>
            </w:pPr>
            <w:r>
              <w:rPr>
                <w:rFonts w:ascii="Times New Roman" w:hAnsi="Times New Roman"/>
                <w:sz w:val="28"/>
                <w:szCs w:val="28"/>
              </w:rPr>
              <w:t>Виконання вимог Закону України «Про засади державної аграрної політики та державної політики сільського розвитку» та постанови Кабінету Міністрів України від 04 березня 2026 року № 306 «Про затвердження Порядку та критеріїв визначення зон ризикованого землеробства»</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передбачаються</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p>
        </w:tc>
      </w:tr>
      <w:tr>
        <w:tc>
          <w:tcPr>
            <w:tcW w:w="2658"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 xml:space="preserve">Альтернатива 2 </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i w:val="1"/>
                <w:iCs w:val="1"/>
                <w:sz w:val="28"/>
                <w:szCs w:val="28"/>
              </w:rPr>
            </w:pPr>
          </w:p>
        </w:tc>
        <w:tc>
          <w:tcPr>
            <w:tcW w:w="5119" w:type="dxa"/>
          </w:tcPr>
          <w:p>
            <w:pPr>
              <w:widowControl w:val="0"/>
              <w:tabs>
                <w:tab w:val="left" w:pos="567" w:leader="none"/>
                <w:tab w:val="left" w:pos="851" w:leader="none"/>
              </w:tabs>
              <w:ind w:left="2"/>
              <w:jc w:val="both"/>
              <w:rPr>
                <w:rFonts w:ascii="Times New Roman" w:hAnsi="Times New Roman"/>
                <w:sz w:val="28"/>
                <w:szCs w:val="28"/>
              </w:rPr>
            </w:pPr>
            <w:r>
              <w:rPr>
                <w:rFonts w:ascii="Times New Roman" w:hAnsi="Times New Roman"/>
                <w:sz w:val="28"/>
                <w:szCs w:val="28"/>
              </w:rPr>
              <w:t>Відсутні</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передбачаються</w:t>
            </w: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lang w:val="uk-UA"/>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r>
        <w:rPr>
          <w:rFonts w:ascii="Times New Roman" w:hAnsi="Times New Roman"/>
          <w:i w:val="1"/>
          <w:iCs w:val="1"/>
          <w:sz w:val="28"/>
          <w:szCs w:val="28"/>
        </w:rPr>
        <w:t>Оцінка впливу на сферу інтересів громадян</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p>
    <w:tbl>
      <w:tblPr>
        <w:tblStyle w:val="T6"/>
        <w:tblW w:w="9918"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2547"/>
        <w:gridCol w:w="5230"/>
        <w:gridCol w:w="2141"/>
      </w:tblGrid>
      <w:tr>
        <w:tc>
          <w:tcPr>
            <w:tcW w:w="254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Вид альтернативи</w:t>
            </w:r>
          </w:p>
        </w:tc>
        <w:tc>
          <w:tcPr>
            <w:tcW w:w="523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Вигоди</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Витрати</w:t>
            </w:r>
          </w:p>
        </w:tc>
      </w:tr>
      <w:tr>
        <w:tc>
          <w:tcPr>
            <w:tcW w:w="2547"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1</w:t>
            </w:r>
          </w:p>
          <w:p>
            <w:pPr>
              <w:tabs>
                <w:tab w:val="left" w:pos="851" w:leader="none"/>
              </w:tabs>
              <w:spacing w:lineRule="auto" w:line="259" w:after="160" w:beforeAutospacing="0" w:afterAutospacing="0"/>
              <w:rPr>
                <w:rFonts w:ascii="Times New Roman" w:hAnsi="Times New Roman"/>
                <w:sz w:val="28"/>
                <w:szCs w:val="28"/>
              </w:rPr>
            </w:pPr>
          </w:p>
        </w:tc>
        <w:tc>
          <w:tcPr>
            <w:tcW w:w="523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Відсутні</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передбачаються</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p>
        </w:tc>
      </w:tr>
      <w:tr>
        <w:tc>
          <w:tcPr>
            <w:tcW w:w="2547"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 xml:space="preserve">Альтернатива 2 </w:t>
            </w:r>
          </w:p>
        </w:tc>
        <w:tc>
          <w:tcPr>
            <w:tcW w:w="523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Відсутні</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передбачаються</w:t>
            </w: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lang w:val="uk-UA"/>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r>
        <w:rPr>
          <w:rFonts w:ascii="Times New Roman" w:hAnsi="Times New Roman"/>
          <w:i w:val="1"/>
          <w:iCs w:val="1"/>
          <w:sz w:val="28"/>
          <w:szCs w:val="28"/>
        </w:rPr>
        <w:t>Оцінка впливу на сферу інтересів суб’єктів господарювання</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rPr>
          <w:rFonts w:ascii="Times New Roman" w:hAnsi="Times New Roman"/>
          <w:i w:val="1"/>
          <w:iCs w:val="1"/>
          <w:sz w:val="28"/>
          <w:szCs w:val="28"/>
        </w:rPr>
      </w:pPr>
    </w:p>
    <w:tbl>
      <w:tblPr>
        <w:tblStyle w:val="T7"/>
        <w:tblW w:w="9795"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4390"/>
        <w:gridCol w:w="1085"/>
        <w:gridCol w:w="1204"/>
        <w:gridCol w:w="1129"/>
        <w:gridCol w:w="1016"/>
        <w:gridCol w:w="971"/>
      </w:tblGrid>
      <w:tr>
        <w:tc>
          <w:tcPr>
            <w:tcW w:w="439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Показник</w:t>
            </w:r>
          </w:p>
        </w:tc>
        <w:tc>
          <w:tcPr>
            <w:tcW w:w="108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Великі</w:t>
            </w:r>
          </w:p>
        </w:tc>
        <w:tc>
          <w:tcPr>
            <w:tcW w:w="1204"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Середні</w:t>
            </w:r>
          </w:p>
        </w:tc>
        <w:tc>
          <w:tcPr>
            <w:tcW w:w="1129"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Малі</w:t>
            </w:r>
          </w:p>
        </w:tc>
        <w:tc>
          <w:tcPr>
            <w:tcW w:w="1016"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Мікро</w:t>
            </w:r>
          </w:p>
        </w:tc>
        <w:tc>
          <w:tcPr>
            <w:tcW w:w="97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Разом</w:t>
            </w:r>
          </w:p>
        </w:tc>
      </w:tr>
      <w:tr>
        <w:tc>
          <w:tcPr>
            <w:tcW w:w="439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Кількість суб’єктів господарювання, що підпадають під дію регулювання, одиниць*</w:t>
            </w:r>
          </w:p>
        </w:tc>
        <w:tc>
          <w:tcPr>
            <w:tcW w:w="108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jc w:val="center"/>
              <w:rPr>
                <w:rFonts w:ascii="Times New Roman" w:hAnsi="Times New Roman"/>
                <w:i w:val="1"/>
                <w:i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31</w:t>
            </w:r>
          </w:p>
        </w:tc>
        <w:tc>
          <w:tcPr>
            <w:tcW w:w="1204"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jc w:val="center"/>
              <w:rPr>
                <w:rFonts w:ascii="Times New Roman" w:hAnsi="Times New Roman"/>
                <w:i w:val="1"/>
                <w:i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101</w:t>
            </w:r>
          </w:p>
        </w:tc>
        <w:tc>
          <w:tcPr>
            <w:tcW w:w="1129"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jc w:val="center"/>
              <w:rPr>
                <w:rFonts w:ascii="Times New Roman" w:hAnsi="Times New Roman"/>
                <w:i w:val="1"/>
                <w:i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190</w:t>
            </w:r>
          </w:p>
        </w:tc>
        <w:tc>
          <w:tcPr>
            <w:tcW w:w="1016"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jc w:val="center"/>
              <w:rPr>
                <w:rFonts w:ascii="Times New Roman" w:hAnsi="Times New Roman"/>
                <w:i w:val="1"/>
                <w:i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312</w:t>
            </w:r>
          </w:p>
        </w:tc>
        <w:tc>
          <w:tcPr>
            <w:tcW w:w="97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jc w:val="center"/>
              <w:rPr>
                <w:rFonts w:ascii="Times New Roman" w:hAnsi="Times New Roman"/>
                <w:i w:val="1"/>
                <w:i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634</w:t>
            </w:r>
          </w:p>
        </w:tc>
      </w:tr>
      <w:tr>
        <w:tc>
          <w:tcPr>
            <w:tcW w:w="439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i w:val="1"/>
                <w:iCs w:val="1"/>
                <w:sz w:val="28"/>
                <w:szCs w:val="28"/>
              </w:rPr>
            </w:pPr>
            <w:r>
              <w:rPr>
                <w:rFonts w:ascii="Times New Roman" w:hAnsi="Times New Roman"/>
                <w:sz w:val="28"/>
                <w:szCs w:val="28"/>
              </w:rPr>
              <w:t>Питома вага групи у загальній кількості, відсотків</w:t>
            </w:r>
          </w:p>
        </w:tc>
        <w:tc>
          <w:tcPr>
            <w:tcW w:w="108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4,9</w:t>
            </w:r>
          </w:p>
        </w:tc>
        <w:tc>
          <w:tcPr>
            <w:tcW w:w="1204"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15,9</w:t>
            </w:r>
          </w:p>
        </w:tc>
        <w:tc>
          <w:tcPr>
            <w:tcW w:w="1129"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30,0</w:t>
            </w:r>
          </w:p>
        </w:tc>
        <w:tc>
          <w:tcPr>
            <w:tcW w:w="1016"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49,2</w:t>
            </w:r>
          </w:p>
        </w:tc>
        <w:tc>
          <w:tcPr>
            <w:tcW w:w="97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i w:val="1"/>
                <w:iCs w:val="1"/>
                <w:sz w:val="28"/>
                <w:szCs w:val="28"/>
              </w:rPr>
            </w:pPr>
            <w:r>
              <w:rPr>
                <w:rFonts w:ascii="Times New Roman" w:hAnsi="Times New Roman"/>
                <w:i w:val="1"/>
                <w:iCs w:val="1"/>
                <w:sz w:val="28"/>
                <w:szCs w:val="28"/>
              </w:rPr>
              <w:t>100</w:t>
            </w:r>
          </w:p>
        </w:tc>
      </w:tr>
    </w:tbl>
    <w:p>
      <w:pPr>
        <w:spacing w:lineRule="auto" w:line="240" w:after="0" w:beforeAutospacing="0" w:afterAutospacing="0"/>
        <w:jc w:val="both"/>
        <w:rPr>
          <w:rFonts w:ascii="Times New Roman" w:hAnsi="Times New Roman"/>
          <w:i w:val="1"/>
          <w:iCs w:val="1"/>
          <w:sz w:val="28"/>
          <w:szCs w:val="28"/>
          <w:lang w:val="uk-UA"/>
        </w:rPr>
      </w:pPr>
    </w:p>
    <w:tbl>
      <w:tblPr>
        <w:tblStyle w:val="T8"/>
        <w:tblW w:w="9962"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2641"/>
        <w:gridCol w:w="5180"/>
        <w:gridCol w:w="2141"/>
      </w:tblGrid>
      <w:tr>
        <w:tc>
          <w:tcPr>
            <w:tcW w:w="26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Вид альтернативи</w:t>
            </w:r>
          </w:p>
        </w:tc>
        <w:tc>
          <w:tcPr>
            <w:tcW w:w="518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Вигоди</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Витрати</w:t>
            </w:r>
          </w:p>
        </w:tc>
      </w:tr>
      <w:tr>
        <w:tc>
          <w:tcPr>
            <w:tcW w:w="2641"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1</w:t>
            </w:r>
          </w:p>
          <w:p>
            <w:pPr>
              <w:tabs>
                <w:tab w:val="left" w:pos="851" w:leader="none"/>
              </w:tabs>
              <w:spacing w:lineRule="auto" w:line="259" w:after="160" w:beforeAutospacing="0" w:afterAutospacing="0"/>
              <w:rPr>
                <w:rFonts w:ascii="Times New Roman" w:hAnsi="Times New Roman"/>
                <w:sz w:val="28"/>
                <w:szCs w:val="28"/>
              </w:rPr>
            </w:pPr>
          </w:p>
        </w:tc>
        <w:tc>
          <w:tcPr>
            <w:tcW w:w="5180" w:type="dxa"/>
          </w:tcPr>
          <w:p>
            <w:pPr>
              <w:widowControl w:val="0"/>
              <w:tabs>
                <w:tab w:val="left" w:pos="567" w:leader="none"/>
                <w:tab w:val="left" w:pos="851" w:leader="none"/>
              </w:tabs>
              <w:ind w:left="2"/>
              <w:jc w:val="both"/>
              <w:rPr>
                <w:rFonts w:ascii="Times New Roman" w:hAnsi="Times New Roman"/>
                <w:sz w:val="28"/>
                <w:szCs w:val="28"/>
              </w:rPr>
            </w:pPr>
            <w:r>
              <w:rPr>
                <w:rFonts w:ascii="Times New Roman" w:hAnsi="Times New Roman"/>
                <w:sz w:val="28"/>
                <w:szCs w:val="28"/>
              </w:rPr>
              <w:t>Реалізація прав виробників сільськогосподарської продукції Запорізької області на подальше отримання державної підтримки для суб’єктів, що здійснюють господарську діяльність у зонах ризикованого землеробства</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передбачаються</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p>
        </w:tc>
      </w:tr>
      <w:tr>
        <w:tc>
          <w:tcPr>
            <w:tcW w:w="2641"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 xml:space="preserve">Альтернатива 2 </w:t>
            </w:r>
          </w:p>
          <w:p>
            <w:pPr>
              <w:tabs>
                <w:tab w:val="left" w:pos="851" w:leader="none"/>
              </w:tabs>
              <w:spacing w:lineRule="auto" w:line="259" w:after="160" w:beforeAutospacing="0" w:afterAutospacing="0"/>
              <w:rPr>
                <w:rFonts w:ascii="Times New Roman" w:hAnsi="Times New Roman"/>
                <w:sz w:val="28"/>
                <w:szCs w:val="28"/>
              </w:rPr>
            </w:pPr>
          </w:p>
        </w:tc>
        <w:tc>
          <w:tcPr>
            <w:tcW w:w="5180" w:type="dxa"/>
          </w:tcPr>
          <w:p>
            <w:pPr>
              <w:tabs>
                <w:tab w:val="left" w:pos="851" w:leader="none"/>
              </w:tabs>
              <w:spacing w:lineRule="auto" w:line="259" w:after="160" w:beforeAutospacing="0" w:afterAutospacing="0"/>
              <w:jc w:val="both"/>
              <w:rPr>
                <w:rFonts w:ascii="Times New Roman" w:hAnsi="Times New Roman"/>
                <w:sz w:val="28"/>
                <w:szCs w:val="28"/>
              </w:rPr>
            </w:pPr>
            <w:r>
              <w:rPr>
                <w:rFonts w:ascii="Times New Roman" w:hAnsi="Times New Roman"/>
                <w:sz w:val="28"/>
                <w:szCs w:val="28"/>
              </w:rPr>
              <w:t xml:space="preserve">Відсутні </w:t>
            </w:r>
          </w:p>
        </w:tc>
        <w:tc>
          <w:tcPr>
            <w:tcW w:w="2141"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передбачаються</w:t>
            </w:r>
          </w:p>
        </w:tc>
      </w:tr>
    </w:tbl>
    <w:p>
      <w:pPr>
        <w:shd w:val="clear" w:fill="FFFFFF"/>
        <w:spacing w:lineRule="auto" w:line="240" w:after="0" w:beforeAutospacing="0" w:afterAutospacing="0"/>
        <w:ind w:firstLine="567"/>
        <w:jc w:val="both"/>
        <w:rPr>
          <w:rFonts w:ascii="Times New Roman" w:hAnsi="Times New Roman"/>
          <w:sz w:val="28"/>
          <w:szCs w:val="28"/>
        </w:rPr>
      </w:pPr>
    </w:p>
    <w:p>
      <w:pP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Варто зазначити, що прийняття даного регуляторного акта забезпечує виключно процедурні умови реалізації вимог Закону України «Про засади державної аграрної політики та державної політики сільського розвитку» та постанови Кабінету Міністрів України від 04 березня 2026 року № 306 «Про затвердження Порядку та критеріїв визначення зон ризикованого землеробства». Виконання норм цього регулювання не призводить до будь-яких витрат для виробників сільськогосподарської продукції. За таких умов розрахунок за додатком 2 до Методики проведення аналізу впливу регуляторного акта та </w:t>
      </w:r>
      <w:r>
        <w:rPr>
          <w:rFonts w:ascii="Times New Roman" w:hAnsi="Times New Roman"/>
          <w:sz w:val="28"/>
          <w:szCs w:val="28"/>
          <w:lang w:val="uk-UA"/>
        </w:rPr>
        <w:t xml:space="preserve">                  </w:t>
      </w:r>
      <w:bookmarkStart w:id="0" w:name="_GoBack"/>
      <w:bookmarkEnd w:id="0"/>
      <w:r>
        <w:rPr>
          <w:rFonts w:ascii="Times New Roman" w:hAnsi="Times New Roman"/>
          <w:sz w:val="28"/>
          <w:szCs w:val="28"/>
        </w:rPr>
        <w:t>М-Тестом не має предметного навантаження (на підставі роз’яснень Державної регуляторної служби України).</w:t>
      </w:r>
    </w:p>
    <w:p>
      <w:pPr>
        <w:shd w:val="clear" w:fill="FFFFFF"/>
        <w:spacing w:lineRule="auto" w:line="240" w:after="0" w:beforeAutospacing="0" w:afterAutospacing="0"/>
        <w:ind w:firstLine="567"/>
        <w:jc w:val="both"/>
        <w:rPr>
          <w:rFonts w:ascii="Times New Roman" w:hAnsi="Times New Roman"/>
          <w:sz w:val="28"/>
          <w:szCs w:val="28"/>
        </w:rPr>
      </w:pPr>
    </w:p>
    <w:tbl>
      <w:tblPr>
        <w:tblStyle w:val="T9"/>
        <w:tblW w:w="9913"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4956"/>
        <w:gridCol w:w="4957"/>
      </w:tblGrid>
      <w:tr>
        <w:tc>
          <w:tcPr>
            <w:tcW w:w="4956" w:type="dxa"/>
          </w:tcPr>
          <w:p>
            <w:pPr>
              <w:jc w:val="center"/>
              <w:rPr>
                <w:rFonts w:ascii="Times New Roman" w:hAnsi="Times New Roman"/>
                <w:b w:val="1"/>
                <w:bCs w:val="1"/>
                <w:sz w:val="28"/>
                <w:szCs w:val="28"/>
              </w:rPr>
            </w:pPr>
            <w:r>
              <w:rPr>
                <w:rFonts w:ascii="Times New Roman" w:hAnsi="Times New Roman"/>
                <w:b w:val="1"/>
                <w:bCs w:val="1"/>
                <w:sz w:val="28"/>
                <w:szCs w:val="28"/>
              </w:rPr>
              <w:t>Сумарні витрати за альтернативами</w:t>
            </w:r>
          </w:p>
        </w:tc>
        <w:tc>
          <w:tcPr>
            <w:tcW w:w="4957" w:type="dxa"/>
          </w:tcPr>
          <w:p>
            <w:pPr>
              <w:jc w:val="center"/>
              <w:rPr>
                <w:rFonts w:ascii="Times New Roman" w:hAnsi="Times New Roman"/>
                <w:b w:val="1"/>
                <w:bCs w:val="1"/>
                <w:sz w:val="28"/>
                <w:szCs w:val="28"/>
              </w:rPr>
            </w:pPr>
            <w:r>
              <w:rPr>
                <w:rFonts w:ascii="Times New Roman" w:hAnsi="Times New Roman"/>
                <w:b w:val="1"/>
                <w:bCs w:val="1"/>
                <w:sz w:val="28"/>
                <w:szCs w:val="28"/>
              </w:rPr>
              <w:t>Сума витрат</w:t>
            </w:r>
          </w:p>
        </w:tc>
      </w:tr>
      <w:tr>
        <w:tc>
          <w:tcPr>
            <w:tcW w:w="4956"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1</w:t>
            </w:r>
          </w:p>
        </w:tc>
        <w:tc>
          <w:tcPr>
            <w:tcW w:w="495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i w:val="1"/>
                <w:iCs w:val="1"/>
                <w:sz w:val="28"/>
                <w:szCs w:val="28"/>
              </w:rPr>
            </w:pPr>
            <w:r>
              <w:rPr>
                <w:rFonts w:ascii="Times New Roman" w:hAnsi="Times New Roman"/>
                <w:sz w:val="28"/>
                <w:szCs w:val="28"/>
              </w:rPr>
              <w:t>Не передбачаються</w:t>
            </w:r>
          </w:p>
        </w:tc>
      </w:tr>
      <w:tr>
        <w:tc>
          <w:tcPr>
            <w:tcW w:w="4956"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 xml:space="preserve">Альтернатива 2 </w:t>
            </w:r>
          </w:p>
        </w:tc>
        <w:tc>
          <w:tcPr>
            <w:tcW w:w="4957"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передбачаються</w:t>
            </w:r>
          </w:p>
        </w:tc>
      </w:tr>
    </w:tbl>
    <w:p>
      <w:pPr>
        <w:shd w:val="clear" w:fill="FFFFFF"/>
        <w:spacing w:lineRule="auto" w:line="240" w:after="0" w:beforeAutospacing="0" w:afterAutospacing="0"/>
        <w:ind w:firstLine="567"/>
        <w:jc w:val="both"/>
        <w:rPr>
          <w:rFonts w:ascii="Times New Roman" w:hAnsi="Times New Roman"/>
          <w:i w:val="1"/>
          <w:iCs w:val="1"/>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left="0"/>
        <w:jc w:val="both"/>
        <w:rPr>
          <w:rFonts w:ascii="Times New Roman" w:hAnsi="Times New Roman"/>
          <w:sz w:val="28"/>
          <w:szCs w:val="28"/>
        </w:rPr>
      </w:pPr>
      <w:r>
        <w:rPr>
          <w:rFonts w:ascii="Times New Roman" w:hAnsi="Times New Roman"/>
          <w:b w:val="1"/>
          <w:bCs w:val="1"/>
          <w:sz w:val="28"/>
          <w:szCs w:val="28"/>
        </w:rPr>
        <w:t>Вибір найбільш оптимального альтернативного способу досягнення цілей</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jc w:val="both"/>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За результатами опрацювання альтернативних способів досягнення цілей державного регулювання здійснено вибір оптимального способу з урахуванням системи бальної оцінки ступеня досягнення визначених цілей.</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jc w:val="both"/>
        <w:rPr>
          <w:rFonts w:ascii="Times New Roman" w:hAnsi="Times New Roman"/>
          <w:sz w:val="28"/>
          <w:szCs w:val="28"/>
          <w:lang w:val="uk-UA"/>
        </w:rPr>
      </w:pPr>
    </w:p>
    <w:tbl>
      <w:tblPr>
        <w:tblStyle w:val="T10"/>
        <w:tblW w:w="10065"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3540"/>
        <w:gridCol w:w="2715"/>
        <w:gridCol w:w="3810"/>
      </w:tblGrid>
      <w:tr>
        <w:tc>
          <w:tcPr>
            <w:tcW w:w="354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Рейтинг результативності (досягнення цілей під час вирішення проблеми)</w:t>
            </w:r>
          </w:p>
        </w:tc>
        <w:tc>
          <w:tcPr>
            <w:tcW w:w="271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 xml:space="preserve">Бал результативності (за чотирибальною системою оцінки) </w:t>
            </w:r>
          </w:p>
        </w:tc>
        <w:tc>
          <w:tcPr>
            <w:tcW w:w="381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Коментарі щодо присвоєння відповідного бала</w:t>
            </w:r>
          </w:p>
        </w:tc>
      </w:tr>
      <w:tr>
        <w:tc>
          <w:tcPr>
            <w:tcW w:w="3540"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1</w:t>
            </w:r>
          </w:p>
        </w:tc>
        <w:tc>
          <w:tcPr>
            <w:tcW w:w="271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sz w:val="28"/>
                <w:szCs w:val="28"/>
              </w:rPr>
            </w:pPr>
            <w:r>
              <w:rPr>
                <w:rFonts w:ascii="Times New Roman" w:hAnsi="Times New Roman"/>
                <w:sz w:val="28"/>
                <w:szCs w:val="28"/>
              </w:rPr>
              <w:t>4</w:t>
            </w:r>
          </w:p>
        </w:tc>
        <w:tc>
          <w:tcPr>
            <w:tcW w:w="381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Цілі прийняття регуляторного акта будуть досягнуті повною мірою</w:t>
            </w:r>
          </w:p>
        </w:tc>
      </w:tr>
      <w:tr>
        <w:trPr>
          <w:trHeight w:hRule="atLeast" w:val="1766"/>
        </w:trPr>
        <w:tc>
          <w:tcPr>
            <w:tcW w:w="3540"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2</w:t>
            </w:r>
          </w:p>
          <w:p>
            <w:pPr>
              <w:tabs>
                <w:tab w:val="left" w:pos="851" w:leader="none"/>
              </w:tabs>
              <w:spacing w:lineRule="auto" w:line="259" w:after="160" w:beforeAutospacing="0" w:afterAutospacing="0"/>
              <w:jc w:val="both"/>
              <w:rPr>
                <w:rFonts w:ascii="Times New Roman" w:hAnsi="Times New Roman"/>
                <w:sz w:val="28"/>
                <w:szCs w:val="28"/>
              </w:rPr>
            </w:pPr>
          </w:p>
        </w:tc>
        <w:tc>
          <w:tcPr>
            <w:tcW w:w="271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sz w:val="28"/>
                <w:szCs w:val="28"/>
              </w:rPr>
            </w:pPr>
            <w:r>
              <w:rPr>
                <w:rFonts w:ascii="Times New Roman" w:hAnsi="Times New Roman"/>
                <w:sz w:val="28"/>
                <w:szCs w:val="28"/>
              </w:rPr>
              <w:t>0</w:t>
            </w:r>
          </w:p>
        </w:tc>
        <w:tc>
          <w:tcPr>
            <w:tcW w:w="3810" w:type="dxa"/>
          </w:tcPr>
          <w:p>
            <w:pP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Така альтернатива не сприятиме досягненню цілей. Будуть порушені права суб’єктів господарювання та норми діючого законодавства</w:t>
            </w: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 </w:t>
      </w:r>
    </w:p>
    <w:tbl>
      <w:tblPr>
        <w:tblStyle w:val="T11"/>
        <w:tblW w:w="10173"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2423"/>
        <w:gridCol w:w="3242"/>
        <w:gridCol w:w="2168"/>
        <w:gridCol w:w="2340"/>
      </w:tblGrid>
      <w:tr>
        <w:tc>
          <w:tcPr>
            <w:tcW w:w="2423"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Рейтинг результативності</w:t>
            </w:r>
          </w:p>
        </w:tc>
        <w:tc>
          <w:tcPr>
            <w:tcW w:w="3242"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Вигоди (підсумок)</w:t>
            </w:r>
          </w:p>
        </w:tc>
        <w:tc>
          <w:tcPr>
            <w:tcW w:w="2168"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Витрати (підсумок)</w:t>
            </w:r>
          </w:p>
        </w:tc>
        <w:tc>
          <w:tcPr>
            <w:tcW w:w="234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Обґрунтування відповідного місця альтернативи у рейтингу</w:t>
            </w:r>
          </w:p>
        </w:tc>
      </w:tr>
      <w:tr>
        <w:tc>
          <w:tcPr>
            <w:tcW w:w="2423"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1</w:t>
            </w:r>
            <w:r>
              <w:rPr>
                <w:rFonts w:ascii="Times New Roman" w:hAnsi="Times New Roman"/>
                <w:i w:val="1"/>
                <w:iCs w:val="1"/>
                <w:sz w:val="28"/>
                <w:szCs w:val="28"/>
              </w:rPr>
              <w:t xml:space="preserve"> – </w:t>
            </w:r>
            <w:r>
              <w:rPr>
                <w:rFonts w:ascii="Times New Roman" w:hAnsi="Times New Roman"/>
                <w:sz w:val="28"/>
                <w:szCs w:val="28"/>
              </w:rPr>
              <w:t>1 місце</w:t>
            </w:r>
          </w:p>
        </w:tc>
        <w:tc>
          <w:tcPr>
            <w:tcW w:w="3242"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При прийнятті даної альтернативи буде забезпечено належний розгляд заявок виробників сільськогосподарської продукції та можливість їх подальшоїї участі у державних програмах підтримкии суб’єктів що здійснюють господарську діяльність у зонах ризикованого землеробства</w:t>
            </w:r>
          </w:p>
        </w:tc>
        <w:tc>
          <w:tcPr>
            <w:tcW w:w="2168"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jc w:val="both"/>
              <w:rPr>
                <w:rFonts w:ascii="Times New Roman" w:hAnsi="Times New Roman"/>
                <w:sz w:val="28"/>
                <w:szCs w:val="28"/>
              </w:rPr>
            </w:pPr>
            <w:r>
              <w:rPr>
                <w:rFonts w:ascii="Times New Roman" w:hAnsi="Times New Roman"/>
                <w:sz w:val="28"/>
                <w:szCs w:val="28"/>
              </w:rPr>
              <w:t>Не передбачаються</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33" w:leader="none"/>
              </w:tabs>
              <w:spacing w:lineRule="auto" w:line="259" w:after="160" w:beforeAutospacing="0" w:afterAutospacing="0"/>
              <w:ind w:left="33"/>
              <w:jc w:val="both"/>
              <w:rPr>
                <w:rFonts w:ascii="Times New Roman" w:hAnsi="Times New Roman"/>
                <w:sz w:val="28"/>
                <w:szCs w:val="28"/>
              </w:rPr>
            </w:pPr>
          </w:p>
        </w:tc>
        <w:tc>
          <w:tcPr>
            <w:tcW w:w="2340"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 xml:space="preserve">У результаті прийняття даної альтернативи будуть досягнуті всі цілі, тому ця альтернатива займає 1 місце в рейтингу результативності </w:t>
            </w:r>
          </w:p>
        </w:tc>
      </w:tr>
      <w:tr>
        <w:tc>
          <w:tcPr>
            <w:tcW w:w="2423"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 xml:space="preserve">Альтернатива 2 </w:t>
            </w:r>
            <w:r>
              <w:rPr>
                <w:rFonts w:ascii="Times New Roman" w:hAnsi="Times New Roman"/>
                <w:i w:val="1"/>
                <w:iCs w:val="1"/>
                <w:sz w:val="28"/>
                <w:szCs w:val="28"/>
              </w:rPr>
              <w:t xml:space="preserve">– </w:t>
            </w:r>
            <w:r>
              <w:rPr>
                <w:rFonts w:ascii="Times New Roman" w:hAnsi="Times New Roman"/>
                <w:sz w:val="28"/>
                <w:szCs w:val="28"/>
              </w:rPr>
              <w:t>2 місце</w:t>
            </w:r>
          </w:p>
        </w:tc>
        <w:tc>
          <w:tcPr>
            <w:tcW w:w="3242"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 xml:space="preserve">При прийнятті даної альтернативи суб’єкти господарювання  Запорізької області не зможуть брати участь у державних програмах підтримки виробників сільськогосподарської продукції, що здійснюють господарську діяльність у зонах ризикованого землеробства</w:t>
            </w:r>
          </w:p>
        </w:tc>
        <w:tc>
          <w:tcPr>
            <w:tcW w:w="2168"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both"/>
              <w:rPr>
                <w:rFonts w:ascii="Times New Roman" w:hAnsi="Times New Roman"/>
                <w:sz w:val="28"/>
                <w:szCs w:val="28"/>
              </w:rPr>
            </w:pPr>
            <w:r>
              <w:rPr>
                <w:rFonts w:ascii="Times New Roman" w:hAnsi="Times New Roman"/>
                <w:sz w:val="28"/>
                <w:szCs w:val="28"/>
              </w:rPr>
              <w:t xml:space="preserve">Не передбачаються </w:t>
            </w:r>
          </w:p>
        </w:tc>
        <w:tc>
          <w:tcPr>
            <w:tcW w:w="2340" w:type="dxa"/>
          </w:tcPr>
          <w:p>
            <w:pPr>
              <w:tabs>
                <w:tab w:val="left" w:pos="851" w:leader="none"/>
              </w:tabs>
              <w:spacing w:lineRule="auto" w:line="259" w:after="160" w:beforeAutospacing="0" w:afterAutospacing="0"/>
              <w:jc w:val="both"/>
              <w:rPr>
                <w:rFonts w:ascii="Times New Roman" w:hAnsi="Times New Roman"/>
                <w:sz w:val="28"/>
                <w:szCs w:val="28"/>
              </w:rPr>
            </w:pPr>
            <w:r>
              <w:rPr>
                <w:rFonts w:ascii="Times New Roman" w:hAnsi="Times New Roman"/>
                <w:sz w:val="28"/>
                <w:szCs w:val="28"/>
              </w:rPr>
              <w:t>Ця альтернатива не забезпечує досягнення встановлених цілей, тому займає 2 місце в рейтингу результативності</w:t>
            </w: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jc w:val="both"/>
        <w:rPr>
          <w:rFonts w:ascii="Times New Roman" w:hAnsi="Times New Roman"/>
          <w:sz w:val="28"/>
          <w:szCs w:val="28"/>
        </w:rPr>
      </w:pPr>
    </w:p>
    <w:tbl>
      <w:tblPr>
        <w:tblStyle w:val="T12"/>
        <w:tblW w:w="10031" w:type="dxa"/>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00"/>
      </w:tblPr>
      <w:tblGrid>
        <w:gridCol w:w="2405"/>
        <w:gridCol w:w="4253"/>
        <w:gridCol w:w="3373"/>
      </w:tblGrid>
      <w:tr>
        <w:tc>
          <w:tcPr>
            <w:tcW w:w="2405"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Рейтинг</w:t>
            </w:r>
          </w:p>
        </w:tc>
        <w:tc>
          <w:tcPr>
            <w:tcW w:w="4253"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Аргументи щодо переваги обраної альтернативи/причини відмови від альтернативи</w:t>
            </w:r>
          </w:p>
        </w:tc>
        <w:tc>
          <w:tcPr>
            <w:tcW w:w="3373"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jc w:val="center"/>
              <w:rPr>
                <w:rFonts w:ascii="Times New Roman" w:hAnsi="Times New Roman"/>
                <w:b w:val="1"/>
                <w:bCs w:val="1"/>
                <w:sz w:val="28"/>
                <w:szCs w:val="28"/>
              </w:rPr>
            </w:pPr>
            <w:r>
              <w:rPr>
                <w:rFonts w:ascii="Times New Roman" w:hAnsi="Times New Roman"/>
                <w:b w:val="1"/>
                <w:bCs w:val="1"/>
                <w:sz w:val="28"/>
                <w:szCs w:val="28"/>
              </w:rPr>
              <w:t>Оцінка ризику зовнішніх чинників на дію запропонованого регуляторного акта</w:t>
            </w:r>
          </w:p>
        </w:tc>
      </w:tr>
      <w:tr>
        <w:tc>
          <w:tcPr>
            <w:tcW w:w="2405"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1</w:t>
            </w:r>
          </w:p>
          <w:p>
            <w:pPr>
              <w:tabs>
                <w:tab w:val="left" w:pos="851" w:leader="none"/>
              </w:tabs>
              <w:spacing w:lineRule="auto" w:line="259" w:beforeAutospacing="0" w:afterAutospacing="0"/>
              <w:rPr>
                <w:rFonts w:ascii="Times New Roman" w:hAnsi="Times New Roman"/>
                <w:sz w:val="28"/>
                <w:szCs w:val="28"/>
              </w:rPr>
            </w:pPr>
          </w:p>
          <w:p>
            <w:pPr>
              <w:tabs>
                <w:tab w:val="left" w:pos="851" w:leader="none"/>
              </w:tabs>
              <w:spacing w:lineRule="auto" w:line="259" w:after="160" w:beforeAutospacing="0" w:afterAutospacing="0"/>
              <w:jc w:val="both"/>
              <w:rPr>
                <w:rFonts w:ascii="Times New Roman" w:hAnsi="Times New Roman"/>
                <w:sz w:val="28"/>
                <w:szCs w:val="28"/>
              </w:rPr>
            </w:pPr>
          </w:p>
        </w:tc>
        <w:tc>
          <w:tcPr>
            <w:tcW w:w="4253" w:type="dxa"/>
          </w:tcPr>
          <w:p>
            <w:pPr>
              <w:ind w:left="2"/>
              <w:jc w:val="both"/>
              <w:rPr>
                <w:rFonts w:ascii="Times New Roman" w:hAnsi="Times New Roman"/>
                <w:sz w:val="28"/>
                <w:szCs w:val="28"/>
              </w:rPr>
            </w:pPr>
            <w:r>
              <w:rPr>
                <w:rFonts w:ascii="Times New Roman" w:hAnsi="Times New Roman"/>
                <w:sz w:val="28"/>
                <w:szCs w:val="28"/>
              </w:rPr>
              <w:t>При прийнятті даної альтернативи буде одночасно забезпечено виконання діючих законодавчих норм та проведена необхідна підготовча робота для реалізації прав виробників сільськогосподарської продукції, що здійснюють діяльність у зонах ризикованого землеробства на отримання державної підтримки</w:t>
            </w:r>
          </w:p>
        </w:tc>
        <w:tc>
          <w:tcPr>
            <w:tcW w:w="3373" w:type="dxa"/>
          </w:tcPr>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Ризик зовнішніх чинників на дію запропонованого регуляторного акта нульовий</w:t>
            </w:r>
          </w:p>
        </w:tc>
      </w:tr>
      <w:tr>
        <w:tc>
          <w:tcPr>
            <w:tcW w:w="2405"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Альтернатива 2</w:t>
            </w:r>
          </w:p>
          <w:p>
            <w:pPr>
              <w:tabs>
                <w:tab w:val="left" w:pos="851" w:leader="none"/>
              </w:tabs>
              <w:spacing w:lineRule="auto" w:line="259" w:beforeAutospacing="0" w:afterAutospacing="0"/>
              <w:rPr>
                <w:rFonts w:ascii="Times New Roman" w:hAnsi="Times New Roman"/>
                <w:sz w:val="28"/>
                <w:szCs w:val="28"/>
              </w:rPr>
            </w:pPr>
          </w:p>
          <w:p>
            <w:pPr>
              <w:tabs>
                <w:tab w:val="left" w:pos="851" w:leader="none"/>
              </w:tabs>
              <w:spacing w:lineRule="auto" w:line="259" w:after="160" w:beforeAutospacing="0" w:afterAutospacing="0"/>
              <w:jc w:val="both"/>
              <w:rPr>
                <w:rFonts w:ascii="Times New Roman" w:hAnsi="Times New Roman"/>
                <w:sz w:val="28"/>
                <w:szCs w:val="28"/>
              </w:rPr>
            </w:pPr>
          </w:p>
        </w:tc>
        <w:tc>
          <w:tcPr>
            <w:tcW w:w="4253" w:type="dxa"/>
          </w:tcPr>
          <w:p>
            <w:pP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Відмова від альтернативи призведе до:</w:t>
            </w:r>
          </w:p>
          <w:p>
            <w:pPr>
              <w:rPr>
                <w:rFonts w:ascii="Times New Roman" w:hAnsi="Times New Roman"/>
                <w:sz w:val="28"/>
                <w:szCs w:val="28"/>
              </w:rPr>
            </w:pPr>
            <w:r>
              <w:rPr>
                <w:rFonts w:ascii="Times New Roman" w:hAnsi="Times New Roman"/>
                <w:sz w:val="28"/>
                <w:szCs w:val="28"/>
              </w:rPr>
              <w:t>не виконання пункту 7 Порядку та критеріїв визначення зон ризикованого землеробства, затвердженого постановою Кабінету Міністрів України від 04 березня 2026 року № 306;</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не буде розглянуто подані від виробників сільськогосподарської продукції заявки на віднесення земельних ділянок сільськогосподарського призначення до зон ризикованого землеробства;</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59" w:beforeAutospacing="0" w:afterAutospacing="0"/>
              <w:rPr>
                <w:rFonts w:ascii="Times New Roman" w:hAnsi="Times New Roman"/>
                <w:sz w:val="28"/>
                <w:szCs w:val="28"/>
              </w:rPr>
            </w:pPr>
            <w:r>
              <w:rPr>
                <w:rFonts w:ascii="Times New Roman" w:hAnsi="Times New Roman"/>
                <w:sz w:val="28"/>
                <w:szCs w:val="28"/>
              </w:rPr>
              <w:t>порушені права виробників сільськогосподарської продукції, які здійснюють діяльність у зонах ризикованого землеробства на отримання державної підтримки</w:t>
            </w:r>
          </w:p>
        </w:tc>
        <w:tc>
          <w:tcPr>
            <w:tcW w:w="3373" w:type="dxa"/>
          </w:tcPr>
          <w:p>
            <w:pPr>
              <w:tabs>
                <w:tab w:val="left" w:pos="851" w:leader="none"/>
              </w:tabs>
              <w:spacing w:lineRule="auto" w:line="259" w:after="160" w:beforeAutospacing="0" w:afterAutospacing="0"/>
              <w:rPr>
                <w:rFonts w:ascii="Times New Roman" w:hAnsi="Times New Roman"/>
                <w:sz w:val="28"/>
                <w:szCs w:val="28"/>
              </w:rPr>
            </w:pPr>
            <w:r>
              <w:rPr>
                <w:rFonts w:ascii="Times New Roman" w:hAnsi="Times New Roman"/>
                <w:sz w:val="28"/>
                <w:szCs w:val="28"/>
              </w:rPr>
              <w:t xml:space="preserve">Проблема буде існувати </w:t>
            </w: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ind w:firstLine="567"/>
        <w:jc w:val="both"/>
        <w:rPr>
          <w:rFonts w:ascii="Times New Roman" w:hAnsi="Times New Roman"/>
          <w:sz w:val="20"/>
          <w:szCs w:val="20"/>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s>
        <w:spacing w:lineRule="auto" w:line="240" w:after="0" w:beforeAutospacing="0" w:afterAutospacing="0"/>
        <w:jc w:val="both"/>
        <w:rPr>
          <w:rFonts w:ascii="Times New Roman" w:hAnsi="Times New Roman"/>
          <w:sz w:val="28"/>
          <w:szCs w:val="28"/>
        </w:rPr>
      </w:pPr>
      <w:r>
        <w:rPr>
          <w:rFonts w:ascii="Times New Roman" w:hAnsi="Times New Roman"/>
          <w:b w:val="1"/>
          <w:bCs w:val="1"/>
          <w:sz w:val="28"/>
          <w:szCs w:val="28"/>
        </w:rPr>
        <w:t>Механізми та заходи, які забезпечать розв’язання визначеної проблеми</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Механізмом, який забезпечить розв’язання визначеної проблеми, є прийняття проєкту регуляторного акта, яким передбачається </w:t>
      </w:r>
      <w:r>
        <w:rPr>
          <w:rFonts w:ascii="Times New Roman" w:hAnsi="Times New Roman"/>
          <w:b w:val="1"/>
          <w:bCs w:val="1"/>
          <w:sz w:val="28"/>
          <w:szCs w:val="28"/>
        </w:rPr>
        <w:t>з</w:t>
      </w:r>
      <w:r>
        <w:rPr>
          <w:rFonts w:ascii="Times New Roman" w:hAnsi="Times New Roman"/>
          <w:sz w:val="28"/>
          <w:szCs w:val="28"/>
        </w:rPr>
        <w:t>атвердження Положення про обласну комісію з прийняття рішень щодо віднесення земельних ділянок сільськогосподарського призначення до зон ризикованого землеробства.</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Заходи, які повинні здійснити органи влади для впровадження цього регуляторного акта:</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забезпечити інформування громадськості та суб’єктів господарювання про вимоги проєкту регуляторного акта шляхом його оприлюднення на офіційному сайті Запорізької обласної державної адміністрації; </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здійснити погодження проєкту регуляторного акта Державною регуляторною службою України та подати його для державної реєстрації до Дніпровського міжрегіонального управління Міністерства юстиції.</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993" w:leader="none"/>
        </w:tabs>
        <w:spacing w:lineRule="auto" w:line="240" w:after="0" w:beforeAutospacing="0" w:afterAutospacing="0"/>
        <w:ind w:firstLine="567" w:left="0"/>
        <w:jc w:val="both"/>
        <w:rPr>
          <w:rFonts w:ascii="Times New Roman" w:hAnsi="Times New Roman"/>
          <w:sz w:val="28"/>
          <w:szCs w:val="28"/>
        </w:rPr>
      </w:pPr>
      <w:r>
        <w:rPr>
          <w:rFonts w:ascii="Times New Roman" w:hAnsi="Times New Roman"/>
          <w:b w:val="1"/>
          <w:bCs w:val="1"/>
          <w:sz w:val="28"/>
          <w:szCs w:val="28"/>
        </w:rPr>
        <w:t> 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bookmarkStart w:id="1" w:name="_heading=h.smerpgvj205"/>
      <w:bookmarkEnd w:id="1"/>
      <w:r>
        <w:rPr>
          <w:rFonts w:ascii="Times New Roman" w:hAnsi="Times New Roman"/>
          <w:sz w:val="28"/>
          <w:szCs w:val="28"/>
        </w:rPr>
        <w:t>Реалізація регуляторного акта не потребує додаткових бюджетних витрат і ресурсів та не передбачає необхідність витрат з боку органів виконавчої влади чи органів місцевого самоврядування, тому розрахунки згідно з додатком 3 до Методики проведення аналізу впливу регуляторного акта не проводились.</w:t>
      </w:r>
    </w:p>
    <w:p>
      <w:pP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Прийняття даного регуляторного акта не призводить до будь-яких дій чи обов’язків суб’єкта господарювання щодо виконання норм цього регулювання, відповідно, ніяких витрат суб’єкт малого бізнесу в рамках цього регулювання не несе. За таких умов розрахунок за додатком 2 до Методики проведення аналізу впливу регуляторного акта та М-Тестом не має предметного навантаження (на підставі роз’яснень Державної регуляторної служби України).</w:t>
      </w:r>
    </w:p>
    <w:p>
      <w:pPr>
        <w:shd w:val="clear" w:fill="FFFFFF"/>
        <w:spacing w:lineRule="auto" w:line="240" w:after="0" w:beforeAutospacing="0" w:afterAutospacing="0"/>
        <w:ind w:firstLine="567"/>
        <w:jc w:val="both"/>
        <w:rPr>
          <w:rFonts w:ascii="Times New Roman" w:hAnsi="Times New Roman"/>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jc w:val="both"/>
        <w:rPr>
          <w:rFonts w:ascii="Times New Roman" w:hAnsi="Times New Roman"/>
          <w:b w:val="1"/>
          <w:bCs w:val="1"/>
          <w:sz w:val="28"/>
          <w:szCs w:val="28"/>
        </w:rPr>
      </w:pPr>
      <w:r>
        <w:rPr>
          <w:rFonts w:ascii="Times New Roman" w:hAnsi="Times New Roman"/>
          <w:b w:val="1"/>
          <w:bCs w:val="1"/>
          <w:sz w:val="28"/>
          <w:szCs w:val="28"/>
        </w:rPr>
        <w:t>Обґрунтування запропонованого строку дії регуляторного акта</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left="927"/>
        <w:jc w:val="both"/>
        <w:rPr>
          <w:rFonts w:ascii="Times New Roman" w:hAnsi="Times New Roman"/>
          <w:b w:val="1"/>
          <w:bCs w:val="1"/>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Даний регуляторний акт набирає чинності з моменту його офіційного оприлюднення та має необмежений строк дії.</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jc w:val="both"/>
        <w:rPr>
          <w:rFonts w:ascii="Times New Roman" w:hAnsi="Times New Roman"/>
          <w:b w:val="1"/>
          <w:bCs w:val="1"/>
          <w:sz w:val="28"/>
          <w:szCs w:val="28"/>
        </w:rPr>
      </w:pPr>
      <w:r>
        <w:rPr>
          <w:rFonts w:ascii="Times New Roman" w:hAnsi="Times New Roman"/>
          <w:b w:val="1"/>
          <w:bCs w:val="1"/>
          <w:sz w:val="28"/>
          <w:szCs w:val="28"/>
        </w:rPr>
        <w:t>Визначення показників результативності дії регуляторного акта</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bookmarkStart w:id="2" w:name="_heading=h.bykcjj92xbun"/>
      <w:bookmarkEnd w:id="2"/>
      <w:r>
        <w:rPr>
          <w:rFonts w:ascii="Times New Roman" w:hAnsi="Times New Roman"/>
          <w:sz w:val="28"/>
          <w:szCs w:val="28"/>
        </w:rPr>
        <w:t>Основним показником результативності даного регуляторного акта є частка розглянутих заявок виробників сільськогосподарської продукції на віднесення земельних ділянок сільськогосподарського призначення до зон ризикованого землеробства до загальної кількості поданих таких заявок.</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40" w:after="0" w:beforeAutospacing="0" w:afterAutospacing="0"/>
        <w:ind w:firstLine="567"/>
        <w:jc w:val="both"/>
        <w:rPr>
          <w:rFonts w:ascii="Times New Roman" w:hAnsi="Times New Roman"/>
          <w:sz w:val="28"/>
          <w:szCs w:val="28"/>
        </w:rPr>
      </w:pPr>
    </w:p>
    <w:p>
      <w:pPr>
        <w:numPr>
          <w:ilvl w:val="0"/>
          <w:numId w:val="1"/>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 w:val="left" w:pos="1134" w:leader="none"/>
        </w:tabs>
        <w:spacing w:lineRule="auto" w:line="240" w:after="0" w:beforeAutospacing="0" w:afterAutospacing="0"/>
        <w:ind w:firstLine="567" w:left="0"/>
        <w:jc w:val="both"/>
        <w:rPr>
          <w:rFonts w:ascii="Times New Roman" w:hAnsi="Times New Roman"/>
          <w:b w:val="1"/>
          <w:bCs w:val="1"/>
          <w:sz w:val="28"/>
          <w:szCs w:val="28"/>
        </w:rPr>
      </w:pPr>
      <w:r>
        <w:rPr>
          <w:rFonts w:ascii="Times New Roman" w:hAnsi="Times New Roman"/>
          <w:b w:val="1"/>
          <w:bCs w:val="1"/>
          <w:sz w:val="28"/>
          <w:szCs w:val="28"/>
        </w:rPr>
        <w:t>Визначення заходів, за допомогою яких здійснюватиметься відстеження результативності дії регуляторного акта</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left" w:pos="851" w:leader="none"/>
          <w:tab w:val="left" w:pos="1134" w:leader="none"/>
        </w:tabs>
        <w:spacing w:lineRule="auto" w:line="240" w:after="0" w:beforeAutospacing="0" w:afterAutospacing="0"/>
        <w:ind w:left="567"/>
        <w:jc w:val="both"/>
        <w:rPr>
          <w:rFonts w:ascii="Times New Roman" w:hAnsi="Times New Roman"/>
          <w:b w:val="1"/>
          <w:bCs w:val="1"/>
          <w:sz w:val="28"/>
          <w:szCs w:val="28"/>
        </w:rPr>
      </w:pPr>
    </w:p>
    <w:p>
      <w:pP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Відстеження результативності регуляторного акта буде проводитись структурним підрозділом Запорізької обласної державної адміністрації, який забезпечує реалізацію державної політики в агропромисловій галузі, шляхом моніторингу даних інформаційно-комунікаційної системи «Державний аграрний реєстр» отриманих облдержадміністрацією при виконанні вимог цього акту. </w:t>
      </w:r>
    </w:p>
    <w:p>
      <w:pP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Базове відстеження результативності дії регуляторного акта буде здійснено до набрання чинності регуляторним актом. </w:t>
      </w:r>
    </w:p>
    <w:p>
      <w:pP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Повторне відстеження планується провести через рік після набуття чинності регуляторного акта. </w:t>
      </w:r>
    </w:p>
    <w:p>
      <w:pP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Періодичне відстеження планується проводити один раз на три роки, починаючи від дня закінчення заходів щодо повторного відстеження результативності. </w:t>
      </w:r>
    </w:p>
    <w:p>
      <w:pPr>
        <w:shd w:val="clear" w:fill="FFFFFF"/>
        <w:spacing w:lineRule="auto" w:line="240" w:after="0" w:beforeAutospacing="0" w:afterAutospacing="0"/>
        <w:ind w:firstLine="567"/>
        <w:jc w:val="both"/>
        <w:rPr>
          <w:rFonts w:ascii="Times New Roman" w:hAnsi="Times New Roman"/>
          <w:sz w:val="28"/>
          <w:szCs w:val="28"/>
        </w:rPr>
      </w:pPr>
      <w:r>
        <w:rPr>
          <w:rFonts w:ascii="Times New Roman" w:hAnsi="Times New Roman"/>
          <w:sz w:val="28"/>
          <w:szCs w:val="28"/>
        </w:rPr>
        <w:t xml:space="preserve">За результатами проведення відстежень буде можливо порівняти показники результативності дії регуляторного акта. У разі виявлення неврегульованих та проблемних питань, вони будуть усунені шляхом внесення відповідних змін до регуляторного акта. </w:t>
      </w:r>
    </w:p>
    <w:p>
      <w:pPr>
        <w:shd w:val="clear" w:fill="FFFFFF"/>
        <w:spacing w:lineRule="auto" w:line="240" w:after="0" w:beforeAutospacing="0" w:afterAutospacing="0"/>
        <w:jc w:val="both"/>
        <w:rPr>
          <w:rFonts w:ascii="Times New Roman" w:hAnsi="Times New Roman"/>
          <w:sz w:val="28"/>
          <w:szCs w:val="28"/>
        </w:rPr>
      </w:pPr>
    </w:p>
    <w:p>
      <w:pPr>
        <w:shd w:val="clear" w:fill="FFFFFF"/>
        <w:spacing w:lineRule="auto" w:line="240" w:after="0" w:beforeAutospacing="0" w:afterAutospacing="0"/>
        <w:jc w:val="both"/>
        <w:rPr>
          <w:rFonts w:ascii="Times New Roman" w:hAnsi="Times New Roman"/>
          <w:sz w:val="28"/>
          <w:szCs w:val="28"/>
        </w:rPr>
      </w:pPr>
    </w:p>
    <w:p>
      <w:pPr>
        <w:shd w:val="clear" w:fill="FFFFFF"/>
        <w:spacing w:lineRule="auto" w:line="240" w:after="0" w:beforeAutospacing="0" w:afterAutospacing="0"/>
        <w:jc w:val="both"/>
        <w:rPr>
          <w:rFonts w:ascii="Times New Roman" w:hAnsi="Times New Roman"/>
          <w:sz w:val="28"/>
          <w:szCs w:val="28"/>
        </w:rPr>
      </w:pPr>
    </w:p>
    <w:p>
      <w:pPr>
        <w:shd w:val="clear" w:fill="FFFFFF"/>
        <w:spacing w:lineRule="auto" w:line="240" w:after="0" w:beforeAutospacing="0" w:afterAutospacing="0"/>
        <w:jc w:val="both"/>
        <w:rPr>
          <w:rFonts w:ascii="Times New Roman" w:hAnsi="Times New Roman"/>
          <w:sz w:val="28"/>
          <w:szCs w:val="28"/>
        </w:rPr>
      </w:pPr>
      <w:r>
        <w:rPr>
          <w:rFonts w:ascii="Times New Roman" w:hAnsi="Times New Roman"/>
          <w:sz w:val="28"/>
          <w:szCs w:val="28"/>
        </w:rPr>
        <w:t xml:space="preserve">Голова обласної державної адміністрації, </w:t>
      </w:r>
    </w:p>
    <w:p>
      <w:pPr>
        <w:shd w:val="clear" w:fill="FFFFFF"/>
        <w:spacing w:lineRule="auto" w:line="240" w:after="0" w:beforeAutospacing="0" w:afterAutospacing="0"/>
        <w:jc w:val="both"/>
        <w:rPr>
          <w:rFonts w:ascii="Times New Roman" w:hAnsi="Times New Roman"/>
          <w:sz w:val="28"/>
          <w:szCs w:val="28"/>
        </w:rPr>
      </w:pPr>
      <w:r>
        <w:rPr>
          <w:rFonts w:ascii="Times New Roman" w:hAnsi="Times New Roman"/>
          <w:sz w:val="28"/>
          <w:szCs w:val="28"/>
        </w:rPr>
        <w:t xml:space="preserve">начальник обласної  військової адміністрації                                      Іван ФЕДОРОВ</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ind w:firstLine="567"/>
        <w:jc w:val="both"/>
      </w:pPr>
    </w:p>
    <w:sectPr>
      <w:headerReference w:type="default" r:id="RelHdr1"/>
      <w:footnotePr/>
      <w:endnotePr/>
      <w:type w:val="nextPage"/>
      <w:pgMar w:left="1701" w:right="567" w:top="1134" w:bottom="1134" w:header="709" w:footer="709" w:gutter="0"/>
      <w:pgNumType w:start="1" w:chapSep="period"/>
      <w:cols w:equalWidth="1" w:space="720"/>
      <w:titlePg w:val="1"/>
    </w:sectPr>
  </w:body>
</w:document>
</file>

<file path=word/endnotes.xml><?xml version="1.0" encoding="utf-8"?>
<w:endnotes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endnote w:type="separator" w:id="-1">
    <w:p>
      <w:pPr>
        <w:spacing w:lineRule="auto" w:line="240" w:after="0" w:beforeAutospacing="0" w:afterAutospacing="0"/>
      </w:pPr>
    </w:p>
  </w:endnote>
  <w:endnote w:type="continuationSeparator" w:id="0">
    <w:p>
      <w:pPr>
        <w:spacing w:lineRule="auto" w:line="240" w:after="0" w:beforeAutospacing="0" w:afterAutospacing="0"/>
      </w:pPr>
    </w:p>
  </w:endnote>
</w:endnotes>
</file>

<file path=word/fontTable.xml><?xml version="1.0" encoding="utf-8"?>
<w:fonts xmlns:w="http://schemas.openxmlformats.org/wordprocessingml/2006/main">
  <w:font w:name="Times New Roman">
    <w:embedBold xmlns:r="http://schemas.openxmlformats.org/officeDocument/2006/relationships" r:id="rId0" w:fontKey="{cceb8e01-b56c-4ce2-b182-e6b64fd7c0af}"/>
  </w:font>
  <w:font w:name="Times New Roman">
    <w:embedRegular xmlns:r="http://schemas.openxmlformats.org/officeDocument/2006/relationships" r:id="rId1" w:fontKey="{96590ec5-4697-46bd-860b-4cb2a80edc02}"/>
  </w:font>
  <w:font w:name="Calibri">
    <w:embedRegular xmlns:r="http://schemas.openxmlformats.org/officeDocument/2006/relationships" r:id="rId2" w:fontKey="{9c07da44-868a-45e4-a518-b36849f56cf6}"/>
  </w:font>
  <w:font w:name="Times New Roman">
    <w:embedItalic xmlns:r="http://schemas.openxmlformats.org/officeDocument/2006/relationships" r:id="rId3" w:fontKey="{ca93046e-fcc5-4960-b76e-5922ed752165}"/>
  </w:font>
</w:fonts>
</file>

<file path=word/footnotes.xml><?xml version="1.0" encoding="utf-8"?>
<w:footnotes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footnote w:type="separator" w:id="-1">
    <w:p>
      <w:pPr>
        <w:spacing w:lineRule="auto" w:line="240" w:after="0" w:beforeAutospacing="0" w:afterAutospacing="0"/>
      </w:pPr>
    </w:p>
  </w:footnote>
  <w:footnote w:type="continuationSeparator" w:id="0">
    <w:p>
      <w:pPr>
        <w:spacing w:lineRule="auto" w:line="240" w:after="0" w:beforeAutospacing="0" w:afterAutospacing="0"/>
      </w:pPr>
    </w:p>
  </w:footnote>
</w:footnotes>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center" w:pos="4844" w:leader="none"/>
        <w:tab w:val="right" w:pos="9689" w:leader="none"/>
      </w:tabs>
      <w:spacing w:lineRule="auto" w:line="240" w:after="0" w:beforeAutospacing="0" w:afterAutospacing="0"/>
      <w:jc w:val="center"/>
      <w:rPr>
        <w:color w:val="000000"/>
      </w:rPr>
    </w:pPr>
    <w:r>
      <w:rPr>
        <w:color w:val="000000"/>
      </w:rPr>
      <w:fldChar w:fldCharType="begin"/>
    </w:r>
    <w:r>
      <w:rPr>
        <w:color w:val="000000"/>
      </w:rPr>
      <w:instrText>PAGE</w:instrText>
    </w:r>
    <w:r>
      <w:rPr>
        <w:color w:val="000000"/>
      </w:rPr>
      <w:fldChar w:fldCharType="separate"/>
    </w:r>
    <w:r>
      <w:rPr>
        <w:color w:val="000000"/>
      </w:rPr>
      <w:t>#</w:t>
    </w:r>
    <w:r>
      <w:rPr>
        <w:color w:val="000000"/>
      </w:rPr>
      <w:fldChar w:fldCharType="end"/>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center" w:pos="4844" w:leader="none"/>
        <w:tab w:val="right" w:pos="9689" w:leader="none"/>
      </w:tabs>
      <w:spacing w:lineRule="auto" w:line="240" w:after="0" w:beforeAutospacing="0" w:afterAutospacing="0"/>
      <w:rPr>
        <w:color w:val="000000"/>
      </w:rPr>
    </w:pPr>
  </w:p>
</w:hdr>
</file>

<file path=word/numbering.xml><?xml version="1.0" encoding="utf-8"?>
<w:numbering xmlns:w="http://schemas.openxmlformats.org/wordprocessingml/2006/main">
  <w:abstractNum w:abstractNumId="0">
    <w:nsid w:val="0D44103C"/>
    <w:multiLevelType w:val="multilevel"/>
    <w:lvl w:ilvl="0">
      <w:start w:val="1"/>
      <w:numFmt w:val="decimal"/>
      <w:suff w:val="tab"/>
      <w:lvlText w:val="%1)"/>
      <w:lvlJc w:val="left"/>
      <w:pPr>
        <w:ind w:hanging="360" w:left="927"/>
      </w:pPr>
      <w:rPr/>
    </w:lvl>
    <w:lvl w:ilvl="1">
      <w:start w:val="1"/>
      <w:numFmt w:val="lowerLetter"/>
      <w:suff w:val="tab"/>
      <w:lvlText w:val="%2."/>
      <w:lvlJc w:val="left"/>
      <w:pPr>
        <w:ind w:hanging="360" w:left="1647"/>
      </w:pPr>
      <w:rPr/>
    </w:lvl>
    <w:lvl w:ilvl="2">
      <w:start w:val="1"/>
      <w:numFmt w:val="lowerRoman"/>
      <w:suff w:val="tab"/>
      <w:lvlText w:val="%3."/>
      <w:lvlJc w:val="right"/>
      <w:pPr>
        <w:ind w:hanging="180" w:left="2367"/>
      </w:pPr>
      <w:rPr/>
    </w:lvl>
    <w:lvl w:ilvl="3">
      <w:start w:val="1"/>
      <w:numFmt w:val="decimal"/>
      <w:suff w:val="tab"/>
      <w:lvlText w:val="%4."/>
      <w:lvlJc w:val="left"/>
      <w:pPr>
        <w:ind w:hanging="360" w:left="3087"/>
      </w:pPr>
      <w:rPr/>
    </w:lvl>
    <w:lvl w:ilvl="4">
      <w:start w:val="1"/>
      <w:numFmt w:val="lowerLetter"/>
      <w:suff w:val="tab"/>
      <w:lvlText w:val="%5."/>
      <w:lvlJc w:val="left"/>
      <w:pPr>
        <w:ind w:hanging="360" w:left="3807"/>
      </w:pPr>
      <w:rPr/>
    </w:lvl>
    <w:lvl w:ilvl="5">
      <w:start w:val="1"/>
      <w:numFmt w:val="lowerRoman"/>
      <w:suff w:val="tab"/>
      <w:lvlText w:val="%6."/>
      <w:lvlJc w:val="right"/>
      <w:pPr>
        <w:ind w:hanging="180" w:left="4527"/>
      </w:pPr>
      <w:rPr/>
    </w:lvl>
    <w:lvl w:ilvl="6">
      <w:start w:val="1"/>
      <w:numFmt w:val="decimal"/>
      <w:suff w:val="tab"/>
      <w:lvlText w:val="%7."/>
      <w:lvlJc w:val="left"/>
      <w:pPr>
        <w:ind w:hanging="360" w:left="5247"/>
      </w:pPr>
      <w:rPr/>
    </w:lvl>
    <w:lvl w:ilvl="7">
      <w:start w:val="1"/>
      <w:numFmt w:val="lowerLetter"/>
      <w:suff w:val="tab"/>
      <w:lvlText w:val="%8."/>
      <w:lvlJc w:val="left"/>
      <w:pPr>
        <w:ind w:hanging="360" w:left="5967"/>
      </w:pPr>
      <w:rPr/>
    </w:lvl>
    <w:lvl w:ilvl="8">
      <w:start w:val="1"/>
      <w:numFmt w:val="lowerRoman"/>
      <w:suff w:val="tab"/>
      <w:lvlText w:val="%9."/>
      <w:lvlJc w:val="right"/>
      <w:pPr>
        <w:ind w:hanging="180" w:left="6687"/>
      </w:pPr>
      <w:rPr/>
    </w:lvl>
  </w:abstractNum>
  <w:abstractNum w:abstractNumId="1">
    <w:nsid w:val="5D9D11FA"/>
    <w:multiLevelType w:val="multilevel"/>
    <w:lvl w:ilvl="0">
      <w:start w:val="1"/>
      <w:numFmt w:val="decimal"/>
      <w:suff w:val="tab"/>
      <w:lvlText w:val="%1."/>
      <w:lvlJc w:val="left"/>
      <w:pPr>
        <w:ind w:hanging="360" w:left="927"/>
      </w:pPr>
      <w:rPr>
        <w:b w:val="1"/>
        <w:bCs w:val="1"/>
        <w:u w:val="none"/>
      </w:rPr>
    </w:lvl>
    <w:lvl w:ilvl="1">
      <w:start w:val="1"/>
      <w:numFmt w:val="lowerLetter"/>
      <w:suff w:val="tab"/>
      <w:lvlText w:val="%2."/>
      <w:lvlJc w:val="left"/>
      <w:pPr>
        <w:ind w:hanging="360" w:left="1647"/>
      </w:pPr>
      <w:rPr/>
    </w:lvl>
    <w:lvl w:ilvl="2">
      <w:start w:val="1"/>
      <w:numFmt w:val="lowerRoman"/>
      <w:suff w:val="tab"/>
      <w:lvlText w:val="%3."/>
      <w:lvlJc w:val="right"/>
      <w:pPr>
        <w:ind w:hanging="180" w:left="2367"/>
      </w:pPr>
      <w:rPr/>
    </w:lvl>
    <w:lvl w:ilvl="3">
      <w:start w:val="1"/>
      <w:numFmt w:val="decimal"/>
      <w:suff w:val="tab"/>
      <w:lvlText w:val="%4."/>
      <w:lvlJc w:val="left"/>
      <w:pPr>
        <w:ind w:hanging="360" w:left="3087"/>
      </w:pPr>
      <w:rPr/>
    </w:lvl>
    <w:lvl w:ilvl="4">
      <w:start w:val="1"/>
      <w:numFmt w:val="lowerLetter"/>
      <w:suff w:val="tab"/>
      <w:lvlText w:val="%5."/>
      <w:lvlJc w:val="left"/>
      <w:pPr>
        <w:ind w:hanging="360" w:left="3807"/>
      </w:pPr>
      <w:rPr/>
    </w:lvl>
    <w:lvl w:ilvl="5">
      <w:start w:val="1"/>
      <w:numFmt w:val="lowerRoman"/>
      <w:suff w:val="tab"/>
      <w:lvlText w:val="%6."/>
      <w:lvlJc w:val="right"/>
      <w:pPr>
        <w:ind w:hanging="180" w:left="4527"/>
      </w:pPr>
      <w:rPr/>
    </w:lvl>
    <w:lvl w:ilvl="6">
      <w:start w:val="1"/>
      <w:numFmt w:val="decimal"/>
      <w:suff w:val="tab"/>
      <w:lvlText w:val="%7."/>
      <w:lvlJc w:val="left"/>
      <w:pPr>
        <w:ind w:hanging="360" w:left="5247"/>
      </w:pPr>
      <w:rPr/>
    </w:lvl>
    <w:lvl w:ilvl="7">
      <w:start w:val="1"/>
      <w:numFmt w:val="lowerLetter"/>
      <w:suff w:val="tab"/>
      <w:lvlText w:val="%8."/>
      <w:lvlJc w:val="left"/>
      <w:pPr>
        <w:ind w:hanging="360" w:left="5967"/>
      </w:pPr>
      <w:rPr/>
    </w:lvl>
    <w:lvl w:ilvl="8">
      <w:start w:val="1"/>
      <w:numFmt w:val="lowerRoman"/>
      <w:suff w:val="tab"/>
      <w:lvlText w:val="%9."/>
      <w:lvlJc w:val="right"/>
      <w:pPr>
        <w:ind w:hanging="180" w:left="6687"/>
      </w:pPr>
      <w:rPr/>
    </w:lvl>
  </w:abstractNum>
  <w:num w:numId="1">
    <w:abstractNumId w:val="1"/>
  </w:num>
  <w:num w:numId="2">
    <w:abstractNumId w:val="0"/>
  </w:num>
</w:numbering>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doNotCompress"/>
  <w:compat>
    <w:compatSetting w:name="compatibilityMode" w:uri="http://schemas.microsoft.com/office/word" w:val="14"/>
  </w:compat>
  <w:clrSchemeMapping w:bg1="light1" w:t1="dark1" w:bg2="light2" w:t2="dark2" w:accent1="accent1" w:accent2="accent2" w:accent3="accent3" w:accent4="accent4" w:accent5="accent5" w:accent6="accent6" w:hyperlink="hyperlink" w:followedHyperlink="followedHyperlink"/>
  <w:footnotePr>
    <w:footnote w:id="-1"/>
    <w:footnote w:id="0"/>
  </w:footnotePr>
  <w:endnotePr>
    <w:endnote w:id="-1"/>
    <w:endnote w:id="0"/>
  </w:endnotePr>
</w:settings>
</file>

<file path=word/styles.xml><?xml version="1.0" encoding="utf-8"?>
<w:styles xmlns:w="http://schemas.openxmlformats.org/wordprocessingml/2006/main">
  <w:docDefaults>
    <w:rPrDefault>
      <w:rPr>
        <w:rFonts w:ascii="Calibri" w:hAnsi="Calibri"/>
        <w:sz w:val="22"/>
        <w:szCs w:val="22"/>
        <w:lang w:val="uk" w:bidi="ar-SA" w:eastAsia="ru-RU"/>
      </w:rPr>
    </w:rPrDefault>
    <w:pPrDefault>
      <w:pPr>
        <w:keepNext w:val="0"/>
        <w:keepLines w:val="0"/>
        <w:pageBreakBefore w:val="0"/>
        <w:widowControl w:val="1"/>
        <w:suppressLineNumbers w:val="0"/>
        <w:shd w:val="clear" w:fill="auto"/>
        <w:suppressAutoHyphens w:val="0"/>
        <w:spacing w:lineRule="auto" w:line="259" w:before="0" w:after="160" w:beforeAutospacing="0" w:afterAutospacing="0"/>
        <w:ind w:firstLine="0" w:left="0" w:right="0"/>
        <w:contextualSpacing w:val="0"/>
        <w:bidi w:val="0"/>
        <w:jc w:val="left"/>
        <w:outlineLvl w:val="9"/>
      </w:pPr>
    </w:pPrDefault>
  </w:docDefaults>
  <w:style w:type="paragraph" w:styleId="P0" w:default="1">
    <w:name w:val="Normal"/>
    <w:pPr/>
    <w:rPr/>
  </w:style>
  <w:style w:type="paragraph" w:styleId="P1">
    <w:name w:val="Heading 1"/>
    <w:basedOn w:val="P0"/>
    <w:next w:val="P0"/>
    <w:pPr>
      <w:keepNext w:val="1"/>
      <w:keepLines w:val="1"/>
      <w:spacing w:before="480" w:after="120" w:beforeAutospacing="0" w:afterAutospacing="0"/>
      <w:outlineLvl w:val="0"/>
    </w:pPr>
    <w:rPr>
      <w:b w:val="1"/>
      <w:bCs w:val="1"/>
      <w:sz w:val="48"/>
      <w:szCs w:val="48"/>
    </w:rPr>
  </w:style>
  <w:style w:type="paragraph" w:styleId="P2">
    <w:name w:val="Heading 2"/>
    <w:basedOn w:val="P0"/>
    <w:next w:val="P0"/>
    <w:pPr>
      <w:keepNext w:val="1"/>
      <w:keepLines w:val="1"/>
      <w:spacing w:before="360" w:after="80" w:beforeAutospacing="0" w:afterAutospacing="0"/>
      <w:outlineLvl w:val="1"/>
    </w:pPr>
    <w:rPr>
      <w:b w:val="1"/>
      <w:bCs w:val="1"/>
      <w:sz w:val="36"/>
      <w:szCs w:val="36"/>
    </w:rPr>
  </w:style>
  <w:style w:type="paragraph" w:styleId="P3">
    <w:name w:val="Heading 3"/>
    <w:basedOn w:val="P0"/>
    <w:next w:val="P0"/>
    <w:pPr>
      <w:keepNext w:val="1"/>
      <w:keepLines w:val="1"/>
      <w:spacing w:before="280" w:after="80" w:beforeAutospacing="0" w:afterAutospacing="0"/>
      <w:outlineLvl w:val="2"/>
    </w:pPr>
    <w:rPr>
      <w:b w:val="1"/>
      <w:bCs w:val="1"/>
      <w:sz w:val="28"/>
      <w:szCs w:val="28"/>
    </w:rPr>
  </w:style>
  <w:style w:type="paragraph" w:styleId="P4">
    <w:name w:val="Heading 4"/>
    <w:basedOn w:val="P0"/>
    <w:next w:val="P0"/>
    <w:pPr>
      <w:keepNext w:val="1"/>
      <w:keepLines w:val="1"/>
      <w:spacing w:before="240" w:after="40" w:beforeAutospacing="0" w:afterAutospacing="0"/>
      <w:outlineLvl w:val="3"/>
    </w:pPr>
    <w:rPr>
      <w:b w:val="1"/>
      <w:bCs w:val="1"/>
      <w:sz w:val="24"/>
      <w:szCs w:val="24"/>
    </w:rPr>
  </w:style>
  <w:style w:type="paragraph" w:styleId="P5">
    <w:name w:val="Heading 5"/>
    <w:basedOn w:val="P0"/>
    <w:next w:val="P0"/>
    <w:pPr>
      <w:keepNext w:val="1"/>
      <w:keepLines w:val="1"/>
      <w:spacing w:before="220" w:after="40" w:beforeAutospacing="0" w:afterAutospacing="0"/>
      <w:outlineLvl w:val="4"/>
    </w:pPr>
    <w:rPr>
      <w:b w:val="1"/>
      <w:bCs w:val="1"/>
    </w:rPr>
  </w:style>
  <w:style w:type="paragraph" w:styleId="P6">
    <w:name w:val="Heading 6"/>
    <w:basedOn w:val="P0"/>
    <w:next w:val="P0"/>
    <w:pPr>
      <w:keepNext w:val="1"/>
      <w:keepLines w:val="1"/>
      <w:spacing w:before="200" w:after="40" w:beforeAutospacing="0" w:afterAutospacing="0"/>
      <w:outlineLvl w:val="5"/>
    </w:pPr>
    <w:rPr>
      <w:b w:val="1"/>
      <w:bCs w:val="1"/>
      <w:sz w:val="20"/>
      <w:szCs w:val="20"/>
    </w:rPr>
  </w:style>
  <w:style w:type="paragraph" w:styleId="P7">
    <w:name w:val="Title"/>
    <w:basedOn w:val="P0"/>
    <w:next w:val="P0"/>
    <w:pPr>
      <w:keepNext w:val="1"/>
      <w:keepLines w:val="1"/>
      <w:spacing w:before="480" w:after="120" w:beforeAutospacing="0" w:afterAutospacing="0"/>
    </w:pPr>
    <w:rPr>
      <w:b w:val="1"/>
      <w:bCs w:val="1"/>
      <w:sz w:val="72"/>
      <w:szCs w:val="72"/>
    </w:rPr>
  </w:style>
  <w:style w:type="paragraph" w:styleId="P8">
    <w:name w:val="Subtitle"/>
    <w:basedOn w:val="P0"/>
    <w:next w:val="P0"/>
    <w:pPr>
      <w:keepNext w:val="1"/>
      <w:keepLines w:val="1"/>
      <w:spacing w:before="360" w:after="80" w:beforeAutospacing="0" w:afterAutospacing="0"/>
    </w:pPr>
    <w:rPr>
      <w:rFonts w:ascii="Georgia" w:hAnsi="Georgia"/>
      <w:i w:val="1"/>
      <w:iCs w:val="1"/>
      <w:color w:val="666666"/>
      <w:sz w:val="48"/>
      <w:szCs w:val="48"/>
    </w:rPr>
  </w:style>
  <w:style w:type="paragraph" w:styleId="P9">
    <w:name w:val="Footnote Text"/>
    <w:link w:val="C4"/>
    <w:semiHidden/>
    <w:pPr>
      <w:spacing w:lineRule="auto" w:line="240" w:after="0"/>
    </w:pPr>
    <w:rPr>
      <w:sz w:val="20"/>
      <w:szCs w:val="20"/>
    </w:rPr>
  </w:style>
  <w:style w:type="paragraph" w:styleId="P10">
    <w:name w:val="Endnote Text"/>
    <w:link w:val="C6"/>
    <w:semiHidden/>
    <w:pPr>
      <w:spacing w:lineRule="auto" w:line="240" w:after="0"/>
    </w:pPr>
    <w:rPr>
      <w:sz w:val="20"/>
      <w:szCs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note Reference"/>
    <w:semiHidden/>
    <w:rPr>
      <w:vertAlign w:val="superscript"/>
    </w:rPr>
  </w:style>
  <w:style w:type="character" w:styleId="C4">
    <w:name w:val="Footnote Text Char"/>
    <w:link w:val="P9"/>
    <w:semiHidden/>
    <w:rPr>
      <w:sz w:val="20"/>
      <w:szCs w:val="20"/>
    </w:rPr>
  </w:style>
  <w:style w:type="character" w:styleId="C5">
    <w:name w:val="Endnote Reference"/>
    <w:semiHidden/>
    <w:rPr>
      <w:vertAlign w:val="superscript"/>
    </w:rPr>
  </w:style>
  <w:style w:type="character" w:styleId="C6">
    <w:name w:val="Endnote Text Char"/>
    <w:link w:val="P10"/>
    <w:semiHidden/>
    <w:rPr>
      <w:sz w:val="20"/>
      <w:szCs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Normal"/>
    <w:tblPr>
      <w:tblCellMar>
        <w:top w:w="100" w:type="dxa"/>
        <w:left w:w="100" w:type="dxa"/>
        <w:bottom w:w="100" w:type="dxa"/>
        <w:right w:w="100" w:type="dxa"/>
      </w:tblCellMar>
    </w:tblPr>
    <w:trPr/>
    <w:tcPr/>
  </w:style>
  <w:style w:type="table" w:styleId="T3">
    <w:name w:val=""/>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4">
    <w:name w:val="1"/>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5">
    <w:name w:val="2"/>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6">
    <w:name w:val="3"/>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7">
    <w:name w:val="4"/>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8">
    <w:name w:val="5"/>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9">
    <w:name w:val="6"/>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10">
    <w:name w:val="7"/>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11">
    <w:name w:val="8"/>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table" w:styleId="T12">
    <w:name w:val="9"/>
    <w:basedOn w:val="T2"/>
    <w:pPr>
      <w:spacing w:lineRule="auto" w:line="240" w:after="0" w:beforeAutospacing="0" w:afterAutospacing="0"/>
    </w:pPr>
    <w:tblPr>
      <w:tblStyleRowBandSize w:val="1"/>
      <w:tblStyleColBandSize w:val="1"/>
      <w:tblCellMar>
        <w:top w:w="0" w:type="dxa"/>
        <w:left w:w="108" w:type="dxa"/>
        <w:bottom w:w="0" w:type="dxa"/>
        <w:right w:w="108" w:type="dxa"/>
      </w:tblCellMar>
    </w:tblPr>
    <w:trPr/>
    <w:tcPr/>
  </w:style>
  <w:style w:type="numbering" w:styleId="N0">
    <w:name w:val="No List"/>
  </w:style>
</w:styles>
</file>

<file path=word/_rels/document.xml.rels>&#65279;<?xml version="1.0" encoding="utf-8"?><Relationships xmlns="http://schemas.openxmlformats.org/package/2006/relationships"><Relationship Id="RelHdr1" Type="http://schemas.openxmlformats.org/officeDocument/2006/relationships/header" Target="header1.xml" /><Relationship Id="RelFnt1" Type="http://schemas.openxmlformats.org/officeDocument/2006/relationships/footnotes" Target="footnotes.xml" /><Relationship Id="RelEnt1" Type="http://schemas.openxmlformats.org/officeDocument/2006/relationships/endnotes" Target="end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 Id="RelItem1" Type="http://schemas.openxmlformats.org/officeDocument/2006/relationships/customXml" Target="../customXml/item1.xml" /></Relationships>
</file>

<file path=word/_rels/endnotes.xml.rels>&#65279;<?xml version="1.0" encoding="utf-8"?><Relationships xmlns="http://schemas.openxmlformats.org/package/2006/relationships" />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notes.xml.rels>&#65279;<?xml version="1.0" encoding="utf-8"?><Relationships xmlns="http://schemas.openxmlformats.org/package/2006/relationships" />
</file>

<file path=word/_rels/header1.xml.rels>&#65279;<?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tint val="100000"/>
                <a:shade val="100000"/>
                <a:satMod val="130000"/>
              </a:schemeClr>
            </a:gs>
            <a:gs pos="100000">
              <a:schemeClr val="phClr">
                <a:tint val="50000"/>
                <a:shade val="100000"/>
                <a:satMod val="350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cf6wxH1Xgass3SiCtiCqEB56kg==">CgMxLjAyDWguc21lcnBndmoyMDUyDmguYnlrY2pqOTJ4YnVuOAByITFaWWRsN01XVno0bDhKRC1MNlRjZlJFbldubjRFVjlCcw==</go:docsCustomData>
</go:gDocsCustomXmlDataStorage>
</file>

<file path=customXml/itemProps1.xml><?xml version="1.0" encoding="utf-8"?>
<ds:datastoreItem xmlns:ds="http://schemas.openxmlformats.org/officeDocument/2006/customXml" ds:itemID="{11111111-1234-1234-1234-123412341234}">
  <ds:schemaRefs>
    <ds:schemaRef ds:uri="http://schemas.microsoft.com/vsto/samples"/>
  </ds:schemaRefs>
</ds:datastoreItem>
</file>

<file path=docProps/app.xml><?xml version="1.0" encoding="utf-8"?>
<Properties xmlns="http://schemas.openxmlformats.org/officeDocument/2006/extended-properties">
  <Application>DevExpress Office File API/24.2.6.0</Application>
  <AppVersion>24.2</AppVersion>
  <Template>Normal</Template>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2026-05-04T11:01:00Z</dcterms:created>
  <dcterms:modified xsi:type="dcterms:W3CDTF">2026-05-04T11:23:58Z</dcterms:modified>
  <cp:revision>4</cp:revision>
</cp:coreProperties>
</file>